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75193" w14:textId="77777777" w:rsidR="00713729" w:rsidRPr="005E288E" w:rsidRDefault="00713729" w:rsidP="00713729">
      <w:pPr>
        <w:pStyle w:val="Heading1"/>
        <w:spacing w:after="120"/>
        <w:rPr>
          <w:sz w:val="52"/>
          <w:szCs w:val="52"/>
        </w:rPr>
      </w:pPr>
      <w:r>
        <w:t>Summary of Legislation</w:t>
      </w:r>
    </w:p>
    <w:p w14:paraId="649163E5" w14:textId="77777777" w:rsidR="00713729" w:rsidRPr="000F4751" w:rsidRDefault="00713729" w:rsidP="00713729">
      <w:pPr>
        <w:pStyle w:val="DateYear"/>
        <w:spacing w:line="320" w:lineRule="exact"/>
      </w:pPr>
      <w:r>
        <w:t>202</w:t>
      </w:r>
      <w:r w:rsidR="00422641">
        <w:t>5</w:t>
      </w:r>
    </w:p>
    <w:p w14:paraId="38B22CD2" w14:textId="0D9B725F" w:rsidR="00713729" w:rsidRDefault="00971628" w:rsidP="00713729">
      <w:pPr>
        <w:pStyle w:val="Heading2"/>
      </w:pPr>
      <w:r>
        <w:t>Health</w:t>
      </w:r>
      <w:r w:rsidR="00E536F4">
        <w:t xml:space="preserve"> C</w:t>
      </w:r>
      <w:r>
        <w:t>are and Health Insurance</w:t>
      </w:r>
    </w:p>
    <w:p w14:paraId="266E4BF5" w14:textId="77777777" w:rsidR="00713729" w:rsidRDefault="00713729" w:rsidP="00713729">
      <w:pPr>
        <w:sectPr w:rsidR="00713729" w:rsidSect="00A8737E">
          <w:headerReference w:type="default" r:id="rId8"/>
          <w:footerReference w:type="default" r:id="rId9"/>
          <w:headerReference w:type="first" r:id="rId10"/>
          <w:footerReference w:type="first" r:id="rId11"/>
          <w:pgSz w:w="12240" w:h="15840" w:code="1"/>
          <w:pgMar w:top="864" w:right="1440" w:bottom="720" w:left="1440" w:header="0" w:footer="576" w:gutter="0"/>
          <w:cols w:space="576"/>
          <w:titlePg/>
          <w:docGrid w:linePitch="360"/>
        </w:sectPr>
      </w:pPr>
    </w:p>
    <w:p w14:paraId="7064BD68" w14:textId="77777777" w:rsidR="00B36847" w:rsidRPr="00B36847" w:rsidRDefault="00971628" w:rsidP="00B36847">
      <w:pPr>
        <w:pStyle w:val="Author"/>
      </w:pPr>
      <w:r>
        <w:t>Eliyah Chadioun</w:t>
      </w:r>
      <w:r w:rsidR="00B36847">
        <w:t xml:space="preserve"> | </w:t>
      </w:r>
      <w:r>
        <w:t>eliyah.chadioun@coleg.gov</w:t>
      </w:r>
    </w:p>
    <w:p w14:paraId="63C342F4" w14:textId="77777777" w:rsidR="00742C85" w:rsidRDefault="00742C85" w:rsidP="00742C85">
      <w:pPr>
        <w:pStyle w:val="Heading4"/>
      </w:pPr>
      <w:r>
        <w:t>Introduction</w:t>
      </w:r>
    </w:p>
    <w:p w14:paraId="54EC745D" w14:textId="65921468" w:rsidR="00742C85" w:rsidRDefault="00742C85" w:rsidP="00742C85">
      <w:r>
        <w:t>Many pieces of legislation regarding health care and health insurance made their way through the 75</w:t>
      </w:r>
      <w:r w:rsidRPr="00C9738B">
        <w:rPr>
          <w:vertAlign w:val="superscript"/>
        </w:rPr>
        <w:t>th</w:t>
      </w:r>
      <w:r>
        <w:t xml:space="preserve"> General Assembly. The majority of the legislation fell into the following categories:</w:t>
      </w:r>
      <w:r w:rsidR="004F6B68">
        <w:t xml:space="preserve"> Medicaid</w:t>
      </w:r>
      <w:r>
        <w:t xml:space="preserve">, </w:t>
      </w:r>
      <w:r w:rsidR="00444BB2">
        <w:t xml:space="preserve">health insurance, </w:t>
      </w:r>
      <w:r w:rsidR="00AB4B53">
        <w:t>access</w:t>
      </w:r>
      <w:r w:rsidR="00444BB2">
        <w:t xml:space="preserve"> to care</w:t>
      </w:r>
      <w:r w:rsidR="00AB4B53">
        <w:t>,</w:t>
      </w:r>
      <w:r w:rsidR="00444BB2">
        <w:t xml:space="preserve"> and</w:t>
      </w:r>
      <w:r w:rsidR="00AB4B53">
        <w:t xml:space="preserve"> </w:t>
      </w:r>
      <w:r w:rsidR="00AF69D8">
        <w:t>gender identity.</w:t>
      </w:r>
    </w:p>
    <w:p w14:paraId="3AB2F145" w14:textId="77777777" w:rsidR="00971628" w:rsidRPr="00971628" w:rsidRDefault="004F6B68" w:rsidP="00742C85">
      <w:pPr>
        <w:rPr>
          <w:rFonts w:ascii="Segoe UI Bold" w:hAnsi="Segoe UI Bold"/>
          <w:b/>
          <w:color w:val="335F67" w:themeColor="accent6"/>
          <w:sz w:val="26"/>
          <w:szCs w:val="24"/>
        </w:rPr>
      </w:pPr>
      <w:r>
        <w:rPr>
          <w:rFonts w:ascii="Segoe UI Bold" w:hAnsi="Segoe UI Bold"/>
          <w:b/>
          <w:color w:val="335F67" w:themeColor="accent6"/>
          <w:sz w:val="26"/>
          <w:szCs w:val="24"/>
        </w:rPr>
        <w:t>Medicaid</w:t>
      </w:r>
    </w:p>
    <w:p w14:paraId="7DDEB4FC" w14:textId="5742F886" w:rsidR="004F6B68" w:rsidRDefault="00444BB2" w:rsidP="004F32C7">
      <w:r>
        <w:t>Much of the health legislation</w:t>
      </w:r>
      <w:r w:rsidR="00327D11">
        <w:t xml:space="preserve"> addressed by the 75</w:t>
      </w:r>
      <w:r w:rsidR="00327D11" w:rsidRPr="00327D11">
        <w:rPr>
          <w:vertAlign w:val="superscript"/>
        </w:rPr>
        <w:t>th</w:t>
      </w:r>
      <w:r w:rsidR="004F6B68">
        <w:rPr>
          <w:vertAlign w:val="superscript"/>
        </w:rPr>
        <w:t xml:space="preserve"> </w:t>
      </w:r>
      <w:r w:rsidR="00327D11">
        <w:t>General Assembly revolved around Medicaid</w:t>
      </w:r>
      <w:r w:rsidR="004F6B68">
        <w:t>, with some major pieces of legislation focusing specifically on the 340B program</w:t>
      </w:r>
      <w:r w:rsidR="00327D11">
        <w:t>.</w:t>
      </w:r>
      <w:r w:rsidR="00327D11" w:rsidRPr="00327D11">
        <w:t xml:space="preserve"> </w:t>
      </w:r>
    </w:p>
    <w:p w14:paraId="63D22E57" w14:textId="5B25C4CF" w:rsidR="006D28B1" w:rsidRDefault="00327D11" w:rsidP="004F32C7">
      <w:r>
        <w:t xml:space="preserve">The 340B Drug Pricing Program is a federal program that requires drug manufacturers participating in Medicaid to provide outpatient drugs to covered entities at a discount. In Colorado, an estimated 68 hospitals and 20 federally qualified health centers </w:t>
      </w:r>
      <w:r w:rsidR="00444BB2">
        <w:t>are covered entities under</w:t>
      </w:r>
      <w:r>
        <w:t xml:space="preserve"> the 340B program. </w:t>
      </w:r>
    </w:p>
    <w:p w14:paraId="1148B71F" w14:textId="1D64EC3E" w:rsidR="00295D5B" w:rsidRDefault="0081357A" w:rsidP="00547F2C">
      <w:r>
        <w:t xml:space="preserve">The legislature </w:t>
      </w:r>
      <w:r w:rsidR="00444BB2">
        <w:t xml:space="preserve">debated </w:t>
      </w:r>
      <w:r>
        <w:t>two different</w:t>
      </w:r>
      <w:r w:rsidR="00716AD4">
        <w:t xml:space="preserve"> sets of</w:t>
      </w:r>
      <w:r>
        <w:t xml:space="preserve"> protections for the 340B program in anticipation of federal actions. The </w:t>
      </w:r>
      <w:r w:rsidR="00444BB2">
        <w:t>legislature adopted</w:t>
      </w:r>
      <w:r>
        <w:t xml:space="preserve"> </w:t>
      </w:r>
      <w:hyperlink r:id="rId12" w:history="1">
        <w:r w:rsidRPr="00295D5B">
          <w:rPr>
            <w:rStyle w:val="Hyperlink"/>
            <w:bCs w:val="0"/>
          </w:rPr>
          <w:t>Senate Bill 25-071</w:t>
        </w:r>
      </w:hyperlink>
      <w:r w:rsidR="00444BB2">
        <w:rPr>
          <w:rStyle w:val="Hyperlink"/>
          <w:bCs w:val="0"/>
        </w:rPr>
        <w:t>,</w:t>
      </w:r>
      <w:r w:rsidR="00295D5B">
        <w:t xml:space="preserve"> which prohibits pharmaceutical manufacturers and other related entities from imposing </w:t>
      </w:r>
      <w:r w:rsidR="00295D5B">
        <w:t>limitations or restrictions on covered hospitals, contract pharmacies, federally qualified heal</w:t>
      </w:r>
      <w:r w:rsidR="00716AD4">
        <w:t>th centers, or other facilities</w:t>
      </w:r>
      <w:r w:rsidR="00547F2C">
        <w:t>.</w:t>
      </w:r>
      <w:r w:rsidR="00295D5B">
        <w:t xml:space="preserve"> </w:t>
      </w:r>
    </w:p>
    <w:p w14:paraId="2DA5C8E0" w14:textId="38517DF1" w:rsidR="0081357A" w:rsidRDefault="00295D5B" w:rsidP="004F32C7">
      <w:r>
        <w:t xml:space="preserve">The bill </w:t>
      </w:r>
      <w:r w:rsidR="00444BB2">
        <w:t xml:space="preserve">adds reporting requirements for covered hospitals, and </w:t>
      </w:r>
      <w:r>
        <w:t>also prohibits the use of 340B savings for certain expenses, including administrative compensation, penalties and fines, advertising, and lobbying, among others.</w:t>
      </w:r>
    </w:p>
    <w:p w14:paraId="4C17FE15" w14:textId="2097EC40" w:rsidR="006D28B1" w:rsidRDefault="008A6983" w:rsidP="004F32C7">
      <w:r>
        <w:t>The second bill</w:t>
      </w:r>
      <w:r w:rsidR="00444BB2">
        <w:t>,</w:t>
      </w:r>
      <w:r>
        <w:t xml:space="preserve"> </w:t>
      </w:r>
      <w:hyperlink r:id="rId13" w:history="1">
        <w:r w:rsidR="006D28B1" w:rsidRPr="008A6983">
          <w:rPr>
            <w:rStyle w:val="Hyperlink"/>
            <w:szCs w:val="22"/>
          </w:rPr>
          <w:t>S</w:t>
        </w:r>
        <w:r w:rsidRPr="008A6983">
          <w:rPr>
            <w:rStyle w:val="Hyperlink"/>
            <w:szCs w:val="22"/>
          </w:rPr>
          <w:t xml:space="preserve">enate </w:t>
        </w:r>
        <w:r w:rsidR="006D28B1" w:rsidRPr="008A6983">
          <w:rPr>
            <w:rStyle w:val="Hyperlink"/>
            <w:szCs w:val="22"/>
          </w:rPr>
          <w:t>B</w:t>
        </w:r>
        <w:r w:rsidRPr="008A6983">
          <w:rPr>
            <w:rStyle w:val="Hyperlink"/>
            <w:szCs w:val="22"/>
          </w:rPr>
          <w:t xml:space="preserve">ill </w:t>
        </w:r>
        <w:r w:rsidR="006D28B1" w:rsidRPr="008A6983">
          <w:rPr>
            <w:rStyle w:val="Hyperlink"/>
            <w:szCs w:val="22"/>
          </w:rPr>
          <w:t>25-124</w:t>
        </w:r>
      </w:hyperlink>
      <w:r w:rsidR="00444BB2" w:rsidRPr="005144A7">
        <w:rPr>
          <w:bCs/>
        </w:rPr>
        <w:t>, was lost</w:t>
      </w:r>
      <w:r>
        <w:t>. Th</w:t>
      </w:r>
      <w:r w:rsidR="00444BB2">
        <w:t>is</w:t>
      </w:r>
      <w:r>
        <w:t xml:space="preserve"> bill</w:t>
      </w:r>
      <w:r w:rsidR="00444BB2">
        <w:t xml:space="preserve"> would </w:t>
      </w:r>
      <w:r w:rsidR="00FD54A6">
        <w:t xml:space="preserve">similarly </w:t>
      </w:r>
      <w:r w:rsidR="00444BB2">
        <w:t>have</w:t>
      </w:r>
      <w:r>
        <w:t xml:space="preserve"> prohibit</w:t>
      </w:r>
      <w:r w:rsidR="00444BB2">
        <w:t>ed</w:t>
      </w:r>
      <w:r>
        <w:t xml:space="preserve"> certain nonprofit hospitals from using 340B </w:t>
      </w:r>
      <w:proofErr w:type="gramStart"/>
      <w:r w:rsidR="00111AA3">
        <w:t>savings</w:t>
      </w:r>
      <w:r>
        <w:t xml:space="preserve"> for certain</w:t>
      </w:r>
      <w:proofErr w:type="gramEnd"/>
      <w:r>
        <w:t xml:space="preserve"> expenses, including certain administrative compensation, penalties and fines, advertising, and lobbying.</w:t>
      </w:r>
      <w:r w:rsidR="00F70269">
        <w:t xml:space="preserve"> </w:t>
      </w:r>
      <w:r>
        <w:t xml:space="preserve">Manufacturers or providers of 340B drugs </w:t>
      </w:r>
      <w:r w:rsidR="00F70269">
        <w:t xml:space="preserve">would further have been required </w:t>
      </w:r>
      <w:r>
        <w:t>not</w:t>
      </w:r>
      <w:r w:rsidR="00F70269">
        <w:t xml:space="preserve"> to</w:t>
      </w:r>
      <w:r>
        <w:t xml:space="preserve"> limit the provision of 340B drugs to sole commu</w:t>
      </w:r>
      <w:bookmarkStart w:id="0" w:name="_GoBack"/>
      <w:bookmarkEnd w:id="0"/>
      <w:r>
        <w:t xml:space="preserve">nity hospitals and critical access hospitals. </w:t>
      </w:r>
    </w:p>
    <w:p w14:paraId="4F7B5B1F" w14:textId="0DDBD13B" w:rsidR="00DC20F9" w:rsidRDefault="00133C8B" w:rsidP="00DC20F9">
      <w:r>
        <w:t xml:space="preserve">Several other bills concerning Medicaid were also debated by the General Assembly. </w:t>
      </w:r>
      <w:hyperlink r:id="rId14" w:history="1">
        <w:r w:rsidR="00DC20F9" w:rsidRPr="009A37CC">
          <w:rPr>
            <w:rStyle w:val="Hyperlink"/>
            <w:szCs w:val="22"/>
          </w:rPr>
          <w:t>House Bill 25-1003</w:t>
        </w:r>
      </w:hyperlink>
      <w:r w:rsidR="00DC20F9">
        <w:t xml:space="preserve"> revises state statute to align with a recent change in </w:t>
      </w:r>
      <w:r w:rsidR="00ED7C99">
        <w:t>the Department of Health Care Policy and Financing (</w:t>
      </w:r>
      <w:r>
        <w:t>HCPF</w:t>
      </w:r>
      <w:r w:rsidR="00ED7C99">
        <w:t>)</w:t>
      </w:r>
      <w:r w:rsidR="00DC20F9">
        <w:t xml:space="preserve">, which combined two existing Medicaid waiver programs for children – the Children’s Home and </w:t>
      </w:r>
      <w:r>
        <w:t>Community-Based Services</w:t>
      </w:r>
      <w:r w:rsidR="00DC20F9">
        <w:t xml:space="preserve"> waiver and the Children w</w:t>
      </w:r>
      <w:r>
        <w:t>ith Life-Limiting Illness</w:t>
      </w:r>
      <w:r w:rsidR="00DC20F9">
        <w:t xml:space="preserve"> waiver – into the Children with Complex Health Needs waiver program. The new </w:t>
      </w:r>
      <w:r w:rsidR="00DC20F9">
        <w:lastRenderedPageBreak/>
        <w:t xml:space="preserve">program includes respite care, palliative care, and bereavement services for eligible individuals. A child is eligible for the waiver program if they: </w:t>
      </w:r>
    </w:p>
    <w:p w14:paraId="4A6398E4" w14:textId="50361A8D" w:rsidR="00DC20F9" w:rsidRDefault="00DC20F9" w:rsidP="005144A7">
      <w:pPr>
        <w:pStyle w:val="ListBullet"/>
      </w:pPr>
      <w:r>
        <w:t xml:space="preserve">are under 19 years old; </w:t>
      </w:r>
    </w:p>
    <w:p w14:paraId="69ED3A7E" w14:textId="51B48BF8" w:rsidR="00DC20F9" w:rsidRDefault="00DC20F9" w:rsidP="005144A7">
      <w:pPr>
        <w:pStyle w:val="ListBullet"/>
      </w:pPr>
      <w:r>
        <w:t xml:space="preserve">meet the income requirements of the Home and Community-Based Services waivers; and </w:t>
      </w:r>
    </w:p>
    <w:p w14:paraId="4CE9E18B" w14:textId="608CC568" w:rsidR="00DC20F9" w:rsidRDefault="00DC20F9" w:rsidP="005144A7">
      <w:pPr>
        <w:pStyle w:val="ListBullet"/>
      </w:pPr>
      <w:proofErr w:type="gramStart"/>
      <w:r>
        <w:t>have</w:t>
      </w:r>
      <w:proofErr w:type="gramEnd"/>
      <w:r>
        <w:t xml:space="preserve"> a life-limiting illness or qualify for nursing facility or hospital level of care.</w:t>
      </w:r>
    </w:p>
    <w:p w14:paraId="437E6F4E" w14:textId="5D517140" w:rsidR="00AB4B53" w:rsidRDefault="00195195" w:rsidP="004F32C7">
      <w:r>
        <w:t>Many of the Medicaid</w:t>
      </w:r>
      <w:r w:rsidR="00062333">
        <w:t>-</w:t>
      </w:r>
      <w:r>
        <w:t xml:space="preserve">related bills directly affect HCPF and its responsibilities as Colorado’s Medicaid agency. </w:t>
      </w:r>
      <w:hyperlink r:id="rId15" w:history="1">
        <w:r w:rsidR="00AB4B53" w:rsidRPr="00A0218E">
          <w:rPr>
            <w:rStyle w:val="Hyperlink"/>
            <w:szCs w:val="22"/>
          </w:rPr>
          <w:t>House Bill</w:t>
        </w:r>
        <w:r w:rsidR="00ED7C99">
          <w:rPr>
            <w:rStyle w:val="Hyperlink"/>
            <w:szCs w:val="22"/>
          </w:rPr>
          <w:t> </w:t>
        </w:r>
        <w:r w:rsidR="00AB4B53" w:rsidRPr="00A0218E">
          <w:rPr>
            <w:rStyle w:val="Hyperlink"/>
            <w:szCs w:val="22"/>
          </w:rPr>
          <w:t>25</w:t>
        </w:r>
        <w:r w:rsidR="00ED7C99">
          <w:rPr>
            <w:rStyle w:val="Hyperlink"/>
            <w:szCs w:val="22"/>
          </w:rPr>
          <w:noBreakHyphen/>
        </w:r>
        <w:r w:rsidR="00AB4B53" w:rsidRPr="00A0218E">
          <w:rPr>
            <w:rStyle w:val="Hyperlink"/>
            <w:szCs w:val="22"/>
          </w:rPr>
          <w:t>1033</w:t>
        </w:r>
      </w:hyperlink>
      <w:r>
        <w:t>, for example,</w:t>
      </w:r>
      <w:r w:rsidR="00AB4B53">
        <w:t xml:space="preserve"> mandates third</w:t>
      </w:r>
      <w:r w:rsidR="00ED7C99">
        <w:noBreakHyphen/>
      </w:r>
      <w:r w:rsidR="00AB4B53">
        <w:t xml:space="preserve">party payers to reimburse HCPF for health care items and services provided to Medicaid members regardless of any prior authorization requirements they impose. The bill also requires third-party payers to respond to claims issued by HCPF within 60 days of receipt – either with payment or written </w:t>
      </w:r>
      <w:commentRangeStart w:id="1"/>
      <w:r w:rsidR="00AB4B53">
        <w:t>denial</w:t>
      </w:r>
      <w:commentRangeEnd w:id="1"/>
      <w:r w:rsidR="00AA41B5">
        <w:rPr>
          <w:rStyle w:val="CommentReference"/>
        </w:rPr>
        <w:commentReference w:id="1"/>
      </w:r>
      <w:r w:rsidR="00AB4B53">
        <w:t>.</w:t>
      </w:r>
    </w:p>
    <w:commentRangeStart w:id="2"/>
    <w:p w14:paraId="6480ED0F" w14:textId="4ACCA1AF" w:rsidR="00AB4B53" w:rsidRDefault="00FD54A6" w:rsidP="004F32C7">
      <w:r>
        <w:fldChar w:fldCharType="begin"/>
      </w:r>
      <w:r>
        <w:instrText xml:space="preserve"> HYPERLINK "https://leg.colorado.gov/bills/sb25-084" </w:instrText>
      </w:r>
      <w:r>
        <w:fldChar w:fldCharType="separate"/>
      </w:r>
      <w:r w:rsidR="00AB4B53" w:rsidRPr="002D661E">
        <w:rPr>
          <w:rStyle w:val="Hyperlink"/>
          <w:szCs w:val="22"/>
        </w:rPr>
        <w:t>Senate Bill 25-084</w:t>
      </w:r>
      <w:r>
        <w:rPr>
          <w:rStyle w:val="Hyperlink"/>
          <w:szCs w:val="22"/>
        </w:rPr>
        <w:fldChar w:fldCharType="end"/>
      </w:r>
      <w:r w:rsidR="00AB4B53">
        <w:t xml:space="preserve"> </w:t>
      </w:r>
      <w:r w:rsidR="00195195">
        <w:t xml:space="preserve">also </w:t>
      </w:r>
      <w:r w:rsidR="00062333">
        <w:t>a</w:t>
      </w:r>
      <w:r w:rsidR="00195195">
        <w:t>ffects HCPF by requiring it</w:t>
      </w:r>
      <w:r w:rsidR="00AB4B53">
        <w:t xml:space="preserve"> to establish Medicaid dispensing fee rates that encourage an adequate level of market participation from infusion pharmacies that prepare and dispense parenteral nutrition (TPN) by January 1, 2026. In the program’s first year, dispensing fee rates are capped at 30 percent of the infusion pharmacy’s administrative cost to prepare and dispense TPN. </w:t>
      </w:r>
      <w:commentRangeEnd w:id="2"/>
      <w:r w:rsidR="00AA41B5">
        <w:rPr>
          <w:rStyle w:val="CommentReference"/>
        </w:rPr>
        <w:commentReference w:id="2"/>
      </w:r>
    </w:p>
    <w:p w14:paraId="77D855A9" w14:textId="4DB59D4D" w:rsidR="00AB4B53" w:rsidRPr="00AB4B53" w:rsidRDefault="00AB4B53" w:rsidP="004F32C7">
      <w:pPr>
        <w:rPr>
          <w:rFonts w:ascii="Segoe UI Bold" w:hAnsi="Segoe UI Bold"/>
          <w:b/>
          <w:color w:val="335F67" w:themeColor="accent6"/>
          <w:sz w:val="26"/>
          <w:szCs w:val="24"/>
        </w:rPr>
      </w:pPr>
      <w:commentRangeStart w:id="3"/>
      <w:r>
        <w:rPr>
          <w:rFonts w:ascii="Segoe UI Bold" w:hAnsi="Segoe UI Bold"/>
          <w:b/>
          <w:color w:val="335F67" w:themeColor="accent6"/>
          <w:sz w:val="26"/>
          <w:szCs w:val="24"/>
        </w:rPr>
        <w:t>Access</w:t>
      </w:r>
      <w:r w:rsidR="00C23470">
        <w:rPr>
          <w:rFonts w:ascii="Segoe UI Bold" w:hAnsi="Segoe UI Bold"/>
          <w:b/>
          <w:color w:val="335F67" w:themeColor="accent6"/>
          <w:sz w:val="26"/>
          <w:szCs w:val="24"/>
        </w:rPr>
        <w:t xml:space="preserve"> to Care</w:t>
      </w:r>
      <w:commentRangeEnd w:id="3"/>
      <w:r w:rsidR="00203FA9">
        <w:rPr>
          <w:rStyle w:val="CommentReference"/>
        </w:rPr>
        <w:commentReference w:id="3"/>
      </w:r>
    </w:p>
    <w:p w14:paraId="415B2BD5" w14:textId="77777777" w:rsidR="001E476C" w:rsidRDefault="001E476C" w:rsidP="004F32C7">
      <w:r>
        <w:t>Increasing access to, and codifying existing healthcare protections, remained a large priority for the legislature this session.</w:t>
      </w:r>
    </w:p>
    <w:p w14:paraId="61AD5288" w14:textId="77777777" w:rsidR="006D28B1" w:rsidRDefault="00806611" w:rsidP="004F32C7">
      <w:commentRangeStart w:id="4"/>
      <w:r>
        <w:t xml:space="preserve">Current law allows certain public hospitals with fewer than 50 beds to enter into collaborative agreements to increase access to health care. </w:t>
      </w:r>
      <w:hyperlink r:id="rId18" w:history="1">
        <w:r w:rsidRPr="00806611">
          <w:rPr>
            <w:rStyle w:val="Hyperlink"/>
            <w:szCs w:val="22"/>
          </w:rPr>
          <w:t>Senate Bill 25-078</w:t>
        </w:r>
      </w:hyperlink>
      <w:r>
        <w:t xml:space="preserve"> adds private, non-profit hospitals with fewer than 50 beds to the list of facilities approved to enter into collaborative agreements.</w:t>
      </w:r>
      <w:commentRangeEnd w:id="4"/>
      <w:r w:rsidR="00FD54A6">
        <w:rPr>
          <w:rStyle w:val="CommentReference"/>
        </w:rPr>
        <w:commentReference w:id="4"/>
      </w:r>
    </w:p>
    <w:p w14:paraId="51442889" w14:textId="30AC0FA9" w:rsidR="00AB4B53" w:rsidRDefault="00111AA3" w:rsidP="00AB4B53">
      <w:hyperlink r:id="rId19" w:history="1">
        <w:r w:rsidR="00AB4B53" w:rsidRPr="007F5944">
          <w:rPr>
            <w:rStyle w:val="Hyperlink"/>
            <w:szCs w:val="22"/>
          </w:rPr>
          <w:t>Senate Bill 25-278</w:t>
        </w:r>
      </w:hyperlink>
      <w:r w:rsidR="00AB4B53">
        <w:t xml:space="preserve"> broadens the use of epinephrine on school property by changing the phrase “epinephrine auto-injector” to “emergency-use epinephrine.” Emergency</w:t>
      </w:r>
      <w:r w:rsidR="00C23470">
        <w:noBreakHyphen/>
      </w:r>
      <w:r w:rsidR="00AB4B53">
        <w:t xml:space="preserve">use epinephrine is defined as a portable, disposable drug delivery device or product approved by the federal Food and Drug Administration that contains a premeasured, single dose of epinephrine that is used to treat anaphylaxis in an </w:t>
      </w:r>
      <w:proofErr w:type="gramStart"/>
      <w:r w:rsidR="00AB4B53">
        <w:t>emergency situation</w:t>
      </w:r>
      <w:proofErr w:type="gramEnd"/>
      <w:r w:rsidR="00AB4B53">
        <w:t>.</w:t>
      </w:r>
    </w:p>
    <w:p w14:paraId="3ED3F6A5" w14:textId="77777777" w:rsidR="00AB4B53" w:rsidRDefault="00111AA3" w:rsidP="00AB4B53">
      <w:hyperlink r:id="rId20" w:history="1">
        <w:r w:rsidR="00AB4B53" w:rsidRPr="00EB3BD2">
          <w:rPr>
            <w:rStyle w:val="Hyperlink"/>
            <w:szCs w:val="22"/>
          </w:rPr>
          <w:t>House Bill 25-1002</w:t>
        </w:r>
      </w:hyperlink>
      <w:r w:rsidR="00AB4B53">
        <w:t xml:space="preserve"> codifies and clarifies mental health parity requirements in state law. Specifically, the bill: </w:t>
      </w:r>
    </w:p>
    <w:p w14:paraId="64AA00D7" w14:textId="0A561D0C" w:rsidR="00AB4B53" w:rsidRDefault="00AB4B53" w:rsidP="005144A7">
      <w:pPr>
        <w:pStyle w:val="ListBullet"/>
      </w:pPr>
      <w:r>
        <w:t xml:space="preserve">codifies the federal Mental Health Parity and Addiction Equity Act (MHPAEA) into state law; </w:t>
      </w:r>
    </w:p>
    <w:p w14:paraId="68EF1D55" w14:textId="5BBE105F" w:rsidR="00AB4B53" w:rsidRDefault="00AB4B53" w:rsidP="005144A7">
      <w:pPr>
        <w:pStyle w:val="ListBullet"/>
      </w:pPr>
      <w:r>
        <w:t xml:space="preserve">clarifies existing state law around mental health parity; and </w:t>
      </w:r>
    </w:p>
    <w:p w14:paraId="38452EEE" w14:textId="2DCC9DA1" w:rsidR="00AB4B53" w:rsidRDefault="00AB4B53" w:rsidP="005144A7">
      <w:pPr>
        <w:pStyle w:val="ListBullet"/>
      </w:pPr>
      <w:proofErr w:type="gramStart"/>
      <w:r>
        <w:t>requires</w:t>
      </w:r>
      <w:proofErr w:type="gramEnd"/>
      <w:r>
        <w:t xml:space="preserve"> the use of clinical standards from select national organizations to ensure parity.</w:t>
      </w:r>
    </w:p>
    <w:p w14:paraId="51262D43" w14:textId="77777777" w:rsidR="001E476C" w:rsidRDefault="00111AA3" w:rsidP="00474EDB">
      <w:hyperlink r:id="rId21" w:history="1">
        <w:r w:rsidR="00474EDB" w:rsidRPr="003B6011">
          <w:rPr>
            <w:rStyle w:val="Hyperlink"/>
            <w:szCs w:val="22"/>
          </w:rPr>
          <w:t>House Bill 25-1132</w:t>
        </w:r>
      </w:hyperlink>
      <w:r w:rsidR="00474EDB">
        <w:t xml:space="preserve"> repeals and reenacts the Veterans Mental Health Services Program in the Department of Military a</w:t>
      </w:r>
      <w:r w:rsidR="001E476C">
        <w:t xml:space="preserve">nd Veterans Affairs. </w:t>
      </w:r>
      <w:r w:rsidR="00474EDB">
        <w:t>Currently</w:t>
      </w:r>
      <w:r w:rsidR="00062333">
        <w:t>,</w:t>
      </w:r>
      <w:r w:rsidR="00474EDB">
        <w:t xml:space="preserve"> the program directly </w:t>
      </w:r>
      <w:r w:rsidR="00474EDB">
        <w:lastRenderedPageBreak/>
        <w:t>reimburses for mental health services provided to eligible veterans living in community living centers. The bill allows reimbursements for services that are complementary to mental health services and requires the first $600,000 appropriated to the program to be for eligible veterans. In addition</w:t>
      </w:r>
      <w:r w:rsidR="001E476C">
        <w:t>,</w:t>
      </w:r>
      <w:r w:rsidR="00474EDB">
        <w:t xml:space="preserve"> the bill allows the program to provide grants to nonprofit organizations to establish and expand community behavioral health programs for service members, veterans, and their families. </w:t>
      </w:r>
    </w:p>
    <w:p w14:paraId="40A34426" w14:textId="333243D7" w:rsidR="00474EDB" w:rsidRDefault="00111AA3" w:rsidP="00474EDB">
      <w:hyperlink r:id="rId22" w:history="1">
        <w:r w:rsidR="00474EDB" w:rsidRPr="003B6011">
          <w:rPr>
            <w:rStyle w:val="Hyperlink"/>
            <w:szCs w:val="22"/>
          </w:rPr>
          <w:t>Senate Bill 25-118</w:t>
        </w:r>
      </w:hyperlink>
      <w:r w:rsidR="00474EDB">
        <w:t xml:space="preserve"> prohibits state-regulated insurance plans, </w:t>
      </w:r>
      <w:r w:rsidR="00062333">
        <w:t xml:space="preserve">except </w:t>
      </w:r>
      <w:r w:rsidR="00474EDB">
        <w:t>for individual and small group plans offered through Colorado Option, from imposing cost</w:t>
      </w:r>
      <w:r w:rsidR="00062333">
        <w:t>-</w:t>
      </w:r>
      <w:r w:rsidR="00474EDB">
        <w:t>sharing requirements on the first three prenatal office visits.</w:t>
      </w:r>
    </w:p>
    <w:p w14:paraId="527A335B" w14:textId="3B92AF39" w:rsidR="00474EDB" w:rsidRDefault="00111AA3" w:rsidP="00474EDB">
      <w:hyperlink r:id="rId23" w:history="1">
        <w:r w:rsidR="00474EDB" w:rsidRPr="00061AD8">
          <w:rPr>
            <w:rStyle w:val="Hyperlink"/>
            <w:szCs w:val="22"/>
          </w:rPr>
          <w:t>House Bill 25-1288</w:t>
        </w:r>
      </w:hyperlink>
      <w:r w:rsidR="00474EDB">
        <w:t xml:space="preserve"> codifies </w:t>
      </w:r>
      <w:r w:rsidR="001E476C">
        <w:t xml:space="preserve">HCPF </w:t>
      </w:r>
      <w:r w:rsidR="00474EDB">
        <w:t>authorization to accept monetary gifts from private and public sources for the Prima</w:t>
      </w:r>
      <w:r w:rsidR="00C23470">
        <w:t>r</w:t>
      </w:r>
      <w:r w:rsidR="00474EDB">
        <w:t>y Care Fund. It also permits a Federally Qualified Health Center (FQHC) to establish a subsidiary company to provide additional fee-for-service services outside o</w:t>
      </w:r>
      <w:r w:rsidR="001E476C">
        <w:t>f the FQHC’s Medicaid encounter.</w:t>
      </w:r>
    </w:p>
    <w:p w14:paraId="351103D3" w14:textId="578AF391" w:rsidR="00AB4B53" w:rsidRDefault="00111AA3" w:rsidP="004F32C7">
      <w:hyperlink r:id="rId24" w:history="1">
        <w:r w:rsidR="00474EDB" w:rsidRPr="00061AD8">
          <w:rPr>
            <w:rStyle w:val="Hyperlink"/>
            <w:szCs w:val="22"/>
          </w:rPr>
          <w:t>Senate Bill 25-017</w:t>
        </w:r>
      </w:hyperlink>
      <w:r w:rsidR="00474EDB">
        <w:t xml:space="preserve"> codifies the existing </w:t>
      </w:r>
      <w:proofErr w:type="spellStart"/>
      <w:r w:rsidR="00474EDB">
        <w:t>HealthySteps</w:t>
      </w:r>
      <w:proofErr w:type="spellEnd"/>
      <w:r w:rsidR="00474EDB">
        <w:t xml:space="preserve"> program in the Department of Early Childhood (CDEC) as the Pediatric Primary Care Practice Program. The bill </w:t>
      </w:r>
      <w:r w:rsidR="0038004F">
        <w:t xml:space="preserve">requires CDEC to hire a contractor to implement the program, but it </w:t>
      </w:r>
      <w:r w:rsidR="00474EDB">
        <w:t>does not require CDEC to implement the program beyond its current implementation unless it receives sufficient funding to cover any expansions to the program.</w:t>
      </w:r>
    </w:p>
    <w:p w14:paraId="68CC805B" w14:textId="77777777" w:rsidR="00474EDB" w:rsidRPr="00474EDB" w:rsidRDefault="00474EDB" w:rsidP="004F32C7">
      <w:pPr>
        <w:rPr>
          <w:rFonts w:ascii="Segoe UI Bold" w:hAnsi="Segoe UI Bold"/>
          <w:b/>
          <w:color w:val="335F67" w:themeColor="accent6"/>
          <w:sz w:val="26"/>
          <w:szCs w:val="24"/>
        </w:rPr>
      </w:pPr>
      <w:r w:rsidRPr="00474EDB">
        <w:rPr>
          <w:rFonts w:ascii="Segoe UI Bold" w:hAnsi="Segoe UI Bold"/>
          <w:b/>
          <w:color w:val="335F67" w:themeColor="accent6"/>
          <w:sz w:val="26"/>
          <w:szCs w:val="24"/>
        </w:rPr>
        <w:t>Gender Identity</w:t>
      </w:r>
    </w:p>
    <w:p w14:paraId="08650093" w14:textId="77777777" w:rsidR="009A37CC" w:rsidRDefault="00111AA3" w:rsidP="004F32C7">
      <w:hyperlink r:id="rId25" w:history="1">
        <w:r w:rsidR="006D28B1" w:rsidRPr="009A37CC">
          <w:rPr>
            <w:rStyle w:val="Hyperlink"/>
            <w:szCs w:val="22"/>
          </w:rPr>
          <w:t>H</w:t>
        </w:r>
        <w:r w:rsidR="009A37CC" w:rsidRPr="009A37CC">
          <w:rPr>
            <w:rStyle w:val="Hyperlink"/>
            <w:szCs w:val="22"/>
          </w:rPr>
          <w:t xml:space="preserve">ouse </w:t>
        </w:r>
        <w:r w:rsidR="006D28B1" w:rsidRPr="009A37CC">
          <w:rPr>
            <w:rStyle w:val="Hyperlink"/>
            <w:szCs w:val="22"/>
          </w:rPr>
          <w:t>B</w:t>
        </w:r>
        <w:r w:rsidR="009A37CC" w:rsidRPr="009A37CC">
          <w:rPr>
            <w:rStyle w:val="Hyperlink"/>
            <w:szCs w:val="22"/>
          </w:rPr>
          <w:t xml:space="preserve">ill </w:t>
        </w:r>
        <w:r w:rsidR="006D28B1" w:rsidRPr="009A37CC">
          <w:rPr>
            <w:rStyle w:val="Hyperlink"/>
            <w:szCs w:val="22"/>
          </w:rPr>
          <w:t>25-1109</w:t>
        </w:r>
      </w:hyperlink>
      <w:r w:rsidR="009A37CC">
        <w:t xml:space="preserve"> requires individuals who are responsible for completing a death certificate to record the decedent’s gender in accordance with their gender identity. If a gender identity document is provided, the individual completing the death certificate must record the decedent’s gender in accordance with the gender identity in the document. Where no gender identity document is provided, a person with the legal right to manage the decedent’s remains may dispute the recorded gender. If this is done before the certificate is filed, the certificate must reflect the gender as the gender identity reported. If the death certificate has already been filed, the person with the legal right to manage the decedent’s remains may file a claim seeking a court order to amend the information recorded on the death certificate.</w:t>
      </w:r>
    </w:p>
    <w:p w14:paraId="25D3AEE4" w14:textId="011112A4" w:rsidR="00474EDB" w:rsidRDefault="00111AA3" w:rsidP="004F32C7">
      <w:hyperlink r:id="rId26" w:history="1">
        <w:r w:rsidR="00474EDB" w:rsidRPr="002D661E">
          <w:rPr>
            <w:rStyle w:val="Hyperlink"/>
            <w:szCs w:val="22"/>
          </w:rPr>
          <w:t>House Bill 25-1309</w:t>
        </w:r>
      </w:hyperlink>
      <w:r w:rsidR="00474EDB">
        <w:t xml:space="preserve"> codifies coverage for gender</w:t>
      </w:r>
      <w:r w:rsidR="00062333">
        <w:t>-</w:t>
      </w:r>
      <w:r w:rsidR="00474EDB">
        <w:t>affirming care in state law for state</w:t>
      </w:r>
      <w:r w:rsidR="0038004F">
        <w:noBreakHyphen/>
      </w:r>
      <w:r w:rsidR="00474EDB">
        <w:t xml:space="preserve">regulated health plans. The bill </w:t>
      </w:r>
      <w:r w:rsidR="001E476C">
        <w:t xml:space="preserve">also </w:t>
      </w:r>
      <w:r w:rsidR="00474EDB">
        <w:t xml:space="preserve">requires the </w:t>
      </w:r>
      <w:r w:rsidR="001E476C">
        <w:t>Prescription Drug Monitoring Program</w:t>
      </w:r>
      <w:r w:rsidR="00474EDB">
        <w:t xml:space="preserve"> to block</w:t>
      </w:r>
      <w:r w:rsidR="0038004F">
        <w:t xml:space="preserve"> testosterone </w:t>
      </w:r>
      <w:proofErr w:type="spellStart"/>
      <w:r w:rsidR="0038004F">
        <w:t>presciption</w:t>
      </w:r>
      <w:proofErr w:type="spellEnd"/>
      <w:r w:rsidR="00474EDB">
        <w:t xml:space="preserve"> entries from view once the prescription </w:t>
      </w:r>
      <w:proofErr w:type="gramStart"/>
      <w:r w:rsidR="00474EDB">
        <w:t>is archived</w:t>
      </w:r>
      <w:proofErr w:type="gramEnd"/>
      <w:r w:rsidR="00474EDB">
        <w:t xml:space="preserve">. </w:t>
      </w:r>
    </w:p>
    <w:p w14:paraId="40E73607" w14:textId="2044471C" w:rsidR="00474EDB" w:rsidRPr="00474EDB" w:rsidRDefault="00444BB2" w:rsidP="004F32C7">
      <w:pPr>
        <w:rPr>
          <w:rFonts w:ascii="Segoe UI Bold" w:hAnsi="Segoe UI Bold"/>
          <w:b/>
          <w:color w:val="335F67" w:themeColor="accent6"/>
          <w:sz w:val="26"/>
          <w:szCs w:val="24"/>
        </w:rPr>
      </w:pPr>
      <w:commentRangeStart w:id="5"/>
      <w:r>
        <w:rPr>
          <w:rFonts w:ascii="Segoe UI Bold" w:hAnsi="Segoe UI Bold"/>
          <w:b/>
          <w:color w:val="335F67" w:themeColor="accent6"/>
          <w:sz w:val="26"/>
          <w:szCs w:val="24"/>
        </w:rPr>
        <w:t>Health</w:t>
      </w:r>
      <w:r w:rsidR="00474EDB" w:rsidRPr="00474EDB">
        <w:rPr>
          <w:rFonts w:ascii="Segoe UI Bold" w:hAnsi="Segoe UI Bold"/>
          <w:b/>
          <w:color w:val="335F67" w:themeColor="accent6"/>
          <w:sz w:val="26"/>
          <w:szCs w:val="24"/>
        </w:rPr>
        <w:t xml:space="preserve"> Insurance </w:t>
      </w:r>
      <w:commentRangeEnd w:id="5"/>
      <w:r>
        <w:rPr>
          <w:rStyle w:val="CommentReference"/>
        </w:rPr>
        <w:commentReference w:id="5"/>
      </w:r>
    </w:p>
    <w:p w14:paraId="45A16247" w14:textId="766843E6" w:rsidR="003B6011" w:rsidRDefault="0038004F" w:rsidP="004F32C7">
      <w:r>
        <w:rPr>
          <w:rStyle w:val="CommentReference"/>
        </w:rPr>
        <w:commentReference w:id="6"/>
      </w:r>
      <w:hyperlink r:id="rId27" w:history="1">
        <w:r w:rsidR="006D28B1" w:rsidRPr="003B6011">
          <w:rPr>
            <w:rStyle w:val="Hyperlink"/>
            <w:szCs w:val="22"/>
          </w:rPr>
          <w:t>S</w:t>
        </w:r>
        <w:r w:rsidR="003B6011" w:rsidRPr="003B6011">
          <w:rPr>
            <w:rStyle w:val="Hyperlink"/>
            <w:szCs w:val="22"/>
          </w:rPr>
          <w:t xml:space="preserve">enate Bill </w:t>
        </w:r>
        <w:r w:rsidR="006D28B1" w:rsidRPr="003B6011">
          <w:rPr>
            <w:rStyle w:val="Hyperlink"/>
            <w:szCs w:val="22"/>
          </w:rPr>
          <w:t>25-010</w:t>
        </w:r>
      </w:hyperlink>
      <w:r w:rsidR="003B6011">
        <w:t xml:space="preserve"> places additional requirements on the electronic communication consent process for insurance documents, including requiring that: </w:t>
      </w:r>
    </w:p>
    <w:p w14:paraId="5B440B0B" w14:textId="16CE8A98" w:rsidR="003B6011" w:rsidRDefault="003B6011" w:rsidP="005144A7">
      <w:pPr>
        <w:pStyle w:val="ListBullet"/>
      </w:pPr>
      <w:r>
        <w:lastRenderedPageBreak/>
        <w:t xml:space="preserve">carriers obtain informed consent from recipients; </w:t>
      </w:r>
    </w:p>
    <w:p w14:paraId="5C688940" w14:textId="5569A339" w:rsidR="003B6011" w:rsidRDefault="003B6011" w:rsidP="005144A7">
      <w:pPr>
        <w:pStyle w:val="ListBullet"/>
      </w:pPr>
      <w:r>
        <w:t xml:space="preserve">carriers communicate specific information to recipients prior to consent; </w:t>
      </w:r>
    </w:p>
    <w:p w14:paraId="31663770" w14:textId="4B4E3338" w:rsidR="003B6011" w:rsidRDefault="003B6011" w:rsidP="005144A7">
      <w:pPr>
        <w:pStyle w:val="ListBullet"/>
      </w:pPr>
      <w:r>
        <w:t xml:space="preserve">carriers obtain separate consent to post certain documents publicly; and </w:t>
      </w:r>
    </w:p>
    <w:p w14:paraId="39699FB3" w14:textId="3FEA8A65" w:rsidR="003B6011" w:rsidRDefault="003B6011" w:rsidP="0038004F">
      <w:pPr>
        <w:pStyle w:val="ListBullet"/>
      </w:pPr>
      <w:proofErr w:type="gramStart"/>
      <w:r>
        <w:t>employers</w:t>
      </w:r>
      <w:proofErr w:type="gramEnd"/>
      <w:r>
        <w:t xml:space="preserve"> who contract with insurance carriers on behalf of their employees consent only if they use electronic communications in the course of </w:t>
      </w:r>
      <w:commentRangeStart w:id="7"/>
      <w:r>
        <w:t>business</w:t>
      </w:r>
      <w:commentRangeEnd w:id="7"/>
      <w:r w:rsidR="000548D1">
        <w:rPr>
          <w:rStyle w:val="CommentReference"/>
          <w:rFonts w:cs="Segoe UI"/>
          <w:kern w:val="0"/>
          <w14:ligatures w14:val="none"/>
        </w:rPr>
        <w:commentReference w:id="7"/>
      </w:r>
      <w:r>
        <w:t>.</w:t>
      </w:r>
    </w:p>
    <w:p w14:paraId="373126F5" w14:textId="77777777" w:rsidR="000548D1" w:rsidRDefault="000548D1" w:rsidP="000548D1"/>
    <w:sectPr w:rsidR="000548D1" w:rsidSect="00F521A7">
      <w:type w:val="continuous"/>
      <w:pgSz w:w="12240" w:h="15840" w:code="1"/>
      <w:pgMar w:top="1440" w:right="1440" w:bottom="720" w:left="1440" w:header="720" w:footer="576" w:gutter="0"/>
      <w:cols w:num="2" w:space="576"/>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ulia Jackson" w:date="2025-07-10T14:04:00Z" w:initials="JJ">
    <w:p w14:paraId="38D41C90" w14:textId="460FC4F3" w:rsidR="00AA41B5" w:rsidRDefault="00AA41B5">
      <w:pPr>
        <w:pStyle w:val="CommentText"/>
      </w:pPr>
      <w:r>
        <w:rPr>
          <w:rStyle w:val="CommentReference"/>
        </w:rPr>
        <w:annotationRef/>
      </w:r>
      <w:r>
        <w:t>Consider adding HB 1213 in here.</w:t>
      </w:r>
    </w:p>
  </w:comment>
  <w:comment w:id="2" w:author="Julia Jackson" w:date="2025-07-10T14:04:00Z" w:initials="JJ">
    <w:p w14:paraId="3F7931C2" w14:textId="59F677F0" w:rsidR="00AA41B5" w:rsidRDefault="00AA41B5">
      <w:pPr>
        <w:pStyle w:val="CommentText"/>
      </w:pPr>
      <w:r>
        <w:rPr>
          <w:rStyle w:val="CommentReference"/>
        </w:rPr>
        <w:annotationRef/>
      </w:r>
      <w:r>
        <w:t>This could potentially move to the section I’ve proposed about pharmacies and prescriptions.</w:t>
      </w:r>
    </w:p>
  </w:comment>
  <w:comment w:id="3" w:author="Julia Jackson [2]" w:date="2025-07-09T15:46:00Z" w:initials="JJ">
    <w:p w14:paraId="302A7009" w14:textId="0F8CE553" w:rsidR="00203FA9" w:rsidRDefault="00203FA9">
      <w:pPr>
        <w:pStyle w:val="CommentText"/>
      </w:pPr>
      <w:r>
        <w:rPr>
          <w:rStyle w:val="CommentReference"/>
        </w:rPr>
        <w:annotationRef/>
      </w:r>
      <w:r>
        <w:t xml:space="preserve">Consider adding </w:t>
      </w:r>
      <w:r w:rsidR="00AA41B5">
        <w:t>SB</w:t>
      </w:r>
      <w:r>
        <w:t xml:space="preserve"> 048</w:t>
      </w:r>
      <w:r w:rsidR="00AA41B5">
        <w:t xml:space="preserve"> in this section.</w:t>
      </w:r>
    </w:p>
  </w:comment>
  <w:comment w:id="4" w:author="Julia Jackson" w:date="2025-07-10T14:16:00Z" w:initials="JJ">
    <w:p w14:paraId="59BCCBA9" w14:textId="7B3941A6" w:rsidR="00FD54A6" w:rsidRDefault="00FD54A6">
      <w:pPr>
        <w:pStyle w:val="CommentText"/>
      </w:pPr>
      <w:r>
        <w:rPr>
          <w:rStyle w:val="CommentReference"/>
        </w:rPr>
        <w:annotationRef/>
      </w:r>
      <w:r>
        <w:t>This could go into the section I’ve proposed about rural hospitals.</w:t>
      </w:r>
    </w:p>
  </w:comment>
  <w:comment w:id="5" w:author="Julia Jackson [2]" w:date="2025-07-09T14:27:00Z" w:initials="JJ">
    <w:p w14:paraId="7015B5D4" w14:textId="77777777" w:rsidR="00444BB2" w:rsidRDefault="00444BB2">
      <w:pPr>
        <w:pStyle w:val="CommentText"/>
      </w:pPr>
      <w:r>
        <w:rPr>
          <w:rStyle w:val="CommentReference"/>
        </w:rPr>
        <w:annotationRef/>
      </w:r>
      <w:r>
        <w:t>Move this section up after Medicaid.</w:t>
      </w:r>
    </w:p>
    <w:p w14:paraId="62EE9784" w14:textId="1BC37CF0" w:rsidR="00203FA9" w:rsidRDefault="00203FA9">
      <w:pPr>
        <w:pStyle w:val="CommentText"/>
      </w:pPr>
      <w:r>
        <w:t>Consider adding bills: 1300</w:t>
      </w:r>
      <w:r w:rsidR="007975AC">
        <w:t>, 045</w:t>
      </w:r>
      <w:r w:rsidR="00A126EB">
        <w:t>, 196</w:t>
      </w:r>
    </w:p>
  </w:comment>
  <w:comment w:id="6" w:author="Julia Jackson [2]" w:date="2025-07-09T15:17:00Z" w:initials="JJ">
    <w:p w14:paraId="750BFC1B" w14:textId="0D4B0004" w:rsidR="0038004F" w:rsidRDefault="0038004F">
      <w:pPr>
        <w:pStyle w:val="CommentText"/>
      </w:pPr>
      <w:r>
        <w:rPr>
          <w:rStyle w:val="CommentReference"/>
        </w:rPr>
        <w:annotationRef/>
      </w:r>
      <w:r>
        <w:t>This bill did not pass, and I don’t think it warrants inclusion in here.</w:t>
      </w:r>
    </w:p>
  </w:comment>
  <w:comment w:id="7" w:author="Julia Jackson [2]" w:date="2025-07-09T15:42:00Z" w:initials="JJ">
    <w:p w14:paraId="3FC8F324" w14:textId="002B06E0" w:rsidR="00A126EB" w:rsidRDefault="000548D1">
      <w:pPr>
        <w:pStyle w:val="CommentText"/>
      </w:pPr>
      <w:r>
        <w:rPr>
          <w:rStyle w:val="CommentReference"/>
        </w:rPr>
        <w:annotationRef/>
      </w:r>
      <w:r>
        <w:t>New sections to add</w:t>
      </w:r>
      <w:r w:rsidR="00AA41B5">
        <w:t xml:space="preserve"> – can go in this order between access to care and gender identity</w:t>
      </w:r>
      <w:r>
        <w:t xml:space="preserve">: </w:t>
      </w:r>
    </w:p>
    <w:p w14:paraId="27EF6AD9" w14:textId="2BD37BFA" w:rsidR="00A126EB" w:rsidRDefault="000548D1">
      <w:pPr>
        <w:pStyle w:val="CommentText"/>
      </w:pPr>
      <w:r>
        <w:t>Pharmacy and Prescription Services (with bills: 1094,</w:t>
      </w:r>
      <w:r w:rsidR="007975AC">
        <w:t xml:space="preserve"> 1222</w:t>
      </w:r>
      <w:r w:rsidR="00A126EB">
        <w:t>, 1016</w:t>
      </w:r>
      <w:r>
        <w:t>)</w:t>
      </w:r>
    </w:p>
    <w:p w14:paraId="7565EFDC" w14:textId="77777777" w:rsidR="000548D1" w:rsidRDefault="000548D1">
      <w:pPr>
        <w:pStyle w:val="CommentText"/>
      </w:pPr>
      <w:r>
        <w:t>Rural and Safety Net</w:t>
      </w:r>
      <w:r w:rsidR="007975AC">
        <w:t xml:space="preserve"> Facilities</w:t>
      </w:r>
      <w:r>
        <w:t xml:space="preserve"> (with bills: 1223, </w:t>
      </w:r>
      <w:r w:rsidR="007975AC">
        <w:t>290</w:t>
      </w:r>
      <w:r w:rsidR="00A126EB">
        <w:t>)</w:t>
      </w:r>
    </w:p>
    <w:p w14:paraId="457989F7" w14:textId="014A9C1D" w:rsidR="00A126EB" w:rsidRDefault="00A126EB">
      <w:pPr>
        <w:pStyle w:val="CommentText"/>
      </w:pPr>
      <w:r>
        <w:t>Abortion (with bills: 130, 183)</w:t>
      </w:r>
      <w:r w:rsidR="00AA41B5">
        <w:t xml:space="preserve"> – alternatively, you could put these two abortion bills into the Access to Care section, I will leave that to your judgment.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D41C90" w15:done="0"/>
  <w15:commentEx w15:paraId="3F7931C2" w15:done="0"/>
  <w15:commentEx w15:paraId="302A7009" w15:done="0"/>
  <w15:commentEx w15:paraId="59BCCBA9" w15:done="0"/>
  <w15:commentEx w15:paraId="62EE9784" w15:done="0"/>
  <w15:commentEx w15:paraId="750BFC1B" w15:done="0"/>
  <w15:commentEx w15:paraId="457989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E5C3E6D" w16cex:dateUtc="2025-07-09T21:23:00Z"/>
  <w16cex:commentExtensible w16cex:durableId="4E59CCDB" w16cex:dateUtc="2025-07-09T20:26:00Z"/>
  <w16cex:commentExtensible w16cex:durableId="1F8967D8" w16cex:dateUtc="2025-07-09T22:21:00Z"/>
  <w16cex:commentExtensible w16cex:durableId="28C8C082" w16cex:dateUtc="2025-07-09T20:33:00Z"/>
  <w16cex:commentExtensible w16cex:durableId="227645FB" w16cex:dateUtc="2025-07-09T21:46:00Z"/>
  <w16cex:commentExtensible w16cex:durableId="49C7DCCB" w16cex:dateUtc="2025-07-09T20:27:00Z"/>
  <w16cex:commentExtensible w16cex:durableId="432E2579" w16cex:dateUtc="2025-07-09T21:17:00Z"/>
  <w16cex:commentExtensible w16cex:durableId="2180BDE8" w16cex:dateUtc="2025-07-09T2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8733AA" w16cid:durableId="1E5C3E6D"/>
  <w16cid:commentId w16cid:paraId="2BE94902" w16cid:durableId="4E59CCDB"/>
  <w16cid:commentId w16cid:paraId="0AA47AA9" w16cid:durableId="1F8967D8"/>
  <w16cid:commentId w16cid:paraId="762B0676" w16cid:durableId="28C8C082"/>
  <w16cid:commentId w16cid:paraId="302A7009" w16cid:durableId="227645FB"/>
  <w16cid:commentId w16cid:paraId="62EE9784" w16cid:durableId="49C7DCCB"/>
  <w16cid:commentId w16cid:paraId="750BFC1B" w16cid:durableId="432E2579"/>
  <w16cid:commentId w16cid:paraId="457989F7" w16cid:durableId="2180BD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4ECBE" w14:textId="77777777" w:rsidR="00A0398A" w:rsidRDefault="00A0398A" w:rsidP="0070627B">
      <w:r>
        <w:separator/>
      </w:r>
    </w:p>
    <w:p w14:paraId="2A2AEA39" w14:textId="77777777" w:rsidR="00A0398A" w:rsidRDefault="00A0398A" w:rsidP="0070627B"/>
  </w:endnote>
  <w:endnote w:type="continuationSeparator" w:id="0">
    <w:p w14:paraId="7EFF1CDB" w14:textId="77777777" w:rsidR="00A0398A" w:rsidRDefault="00A0398A" w:rsidP="0070627B">
      <w:r>
        <w:continuationSeparator/>
      </w:r>
    </w:p>
    <w:p w14:paraId="1C02FAC4" w14:textId="77777777" w:rsidR="00A0398A" w:rsidRDefault="00A0398A" w:rsidP="007062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Bold">
    <w:panose1 w:val="020B08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9996B" w14:textId="0417C37B" w:rsidR="00A625C6" w:rsidRPr="00CC726E" w:rsidRDefault="00A625C6" w:rsidP="00CC726E">
    <w:pPr>
      <w:pStyle w:val="Page"/>
    </w:pPr>
    <w:r>
      <w:tab/>
    </w:r>
    <w:r w:rsidRPr="00CC726E">
      <w:rPr>
        <w:rStyle w:val="PageChar"/>
        <w:b/>
        <w:sz w:val="22"/>
      </w:rPr>
      <w:t xml:space="preserve">Page | </w:t>
    </w:r>
    <w:r w:rsidRPr="00CC726E">
      <w:fldChar w:fldCharType="begin"/>
    </w:r>
    <w:r w:rsidRPr="00CC726E">
      <w:instrText xml:space="preserve"> PAGE   \* MERGEFORMAT </w:instrText>
    </w:r>
    <w:r w:rsidRPr="00CC726E">
      <w:fldChar w:fldCharType="separate"/>
    </w:r>
    <w:r w:rsidR="00111AA3">
      <w:rPr>
        <w:noProof/>
      </w:rPr>
      <w:t>4</w:t>
    </w:r>
    <w:r w:rsidRPr="00CC726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CD0A4" w14:textId="77777777" w:rsidR="00103CCD" w:rsidRPr="00103CCD" w:rsidRDefault="00103CCD" w:rsidP="00196808">
    <w:pPr>
      <w:pStyle w:val="FooterFormatting"/>
    </w:pPr>
    <w:r w:rsidRPr="00103CCD">
      <w:t>Legislative Council Staff ∙ 200 Colfax Ave</w:t>
    </w:r>
    <w:r w:rsidR="00346412">
      <w:t>, Rm 0</w:t>
    </w:r>
    <w:r w:rsidR="002131B3">
      <w:t>11</w:t>
    </w:r>
    <w:r w:rsidRPr="00103CCD">
      <w:t xml:space="preserve"> ∙ Denver CO 80203 ∙ 303-866-3521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DF5E9" w14:textId="77777777" w:rsidR="00A0398A" w:rsidRDefault="00A0398A" w:rsidP="0070627B">
      <w:r>
        <w:separator/>
      </w:r>
    </w:p>
    <w:p w14:paraId="0DEFD18D" w14:textId="77777777" w:rsidR="00A0398A" w:rsidRDefault="00A0398A" w:rsidP="0070627B"/>
  </w:footnote>
  <w:footnote w:type="continuationSeparator" w:id="0">
    <w:p w14:paraId="69AFBFA1" w14:textId="77777777" w:rsidR="00A0398A" w:rsidRDefault="00A0398A" w:rsidP="0070627B">
      <w:r>
        <w:continuationSeparator/>
      </w:r>
    </w:p>
    <w:p w14:paraId="165767AC" w14:textId="77777777" w:rsidR="00A0398A" w:rsidRDefault="00A0398A" w:rsidP="0070627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61639" w14:textId="77777777" w:rsidR="00705B2B" w:rsidRPr="00705B2B" w:rsidRDefault="00F521A7" w:rsidP="00705B2B">
    <w:pPr>
      <w:pStyle w:val="Heading2"/>
    </w:pPr>
    <w:r w:rsidRPr="005E288E">
      <w:rPr>
        <w:rFonts w:eastAsiaTheme="majorEastAsia"/>
        <w:noProof/>
        <w:spacing w:val="-10"/>
        <w:kern w:val="28"/>
      </w:rPr>
      <mc:AlternateContent>
        <mc:Choice Requires="wps">
          <w:drawing>
            <wp:anchor distT="0" distB="0" distL="114300" distR="114300" simplePos="0" relativeHeight="251692032" behindDoc="0" locked="0" layoutInCell="1" allowOverlap="1" wp14:anchorId="2334BACD" wp14:editId="38EF0824">
              <wp:simplePos x="0" y="0"/>
              <wp:positionH relativeFrom="column">
                <wp:posOffset>-914400</wp:posOffset>
              </wp:positionH>
              <wp:positionV relativeFrom="paragraph">
                <wp:posOffset>-491490</wp:posOffset>
              </wp:positionV>
              <wp:extent cx="10944225" cy="235743"/>
              <wp:effectExtent l="0" t="0" r="9525" b="0"/>
              <wp:wrapNone/>
              <wp:docPr id="3" name="Rectangle 3"/>
              <wp:cNvGraphicFramePr/>
              <a:graphic xmlns:a="http://schemas.openxmlformats.org/drawingml/2006/main">
                <a:graphicData uri="http://schemas.microsoft.com/office/word/2010/wordprocessingShape">
                  <wps:wsp>
                    <wps:cNvSpPr/>
                    <wps:spPr>
                      <a:xfrm>
                        <a:off x="0" y="0"/>
                        <a:ext cx="10944225" cy="235743"/>
                      </a:xfrm>
                      <a:prstGeom prst="rect">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BCDCE3" w14:textId="77777777" w:rsidR="00713729" w:rsidRDefault="00713729" w:rsidP="007137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334BACD" id="Rectangle 3" o:spid="_x0000_s1026" style="position:absolute;margin-left:-1in;margin-top:-38.7pt;width:861.75pt;height:18.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tRpiAIAAJIFAAAOAAAAZHJzL2Uyb0RvYy54bWysVN9PGzEMfp+0/yHK+7gftAMqrqgCMU1i&#10;gAYTz2ku4U5K4ixJe9f99XNy16NjaJOm9SF1Yvuz/Z3t84teK7IVzrdgKloc5ZQIw6FuzXNFvz1e&#10;fzilxAdmaqbAiIruhKcXy/fvzju7ECU0oGrhCIIYv+hsRZsQ7CLLPG+EZv4IrDColOA0C3h1z1nt&#10;WIfoWmVlnn/MOnC1dcCF9/h6NSjpMuFLKXi4k9KLQFRFMbeQTpfOdTyz5TlbPDtmm5aPabB/yEKz&#10;1mDQCeqKBUY2rv0NSrfcgQcZjjjoDKRsuUg1YDVF/qqah4ZZkWpBcrydaPL/D5bfbh/svUMaOusX&#10;HsVYRS+djv+YH+kTWbuJLNEHwvGxyM9ms7KcU8JRWR7PT2bHkc7sxd06Hz4J0CQKFXX4NRJJbHvj&#10;w2C6N4nRPKi2vm6VSpfYAeJSObJl+O0Y58KEMrmrjf4C9fA+z/E3hk1NE11SEr+gKRMxDUT0IXB8&#10;yV5qTlLYKRHtlPkqJGlrrHKIOCEfJlOkZHzDavG3XBJgRJYYf8IeAd4qtBhLGu2jq0jdPDnnQ/Q/&#10;OU8eKTKYMDnr1oB7C0CFKfJgvydpoCayFPp1P7bLGurdvSMOhrHyll+3+KVvmA/3zOEc4cThbgh3&#10;eEgFXUVhlChpwP146z3aY3ujlpIO57Ki/vuGOUGJ+myw8c+K2SwOcrrM5iclXtyhZn2oMRt9Cdg+&#10;BW4hy5MY7YPai9KBfsIVsopRUcUMx9gV5cHtL5dh2Be4hLhYrZIZDq9l4cY8WB7BI8Gxkx/7J+bs&#10;2O4BJ+UW9jPMFq+6frCNngZWmwCyTSMRKR54HanHwU/9PC6puFkO78nqZZUufwIAAP//AwBQSwME&#10;FAAGAAgAAAAhACbIUIHhAAAADQEAAA8AAABkcnMvZG93bnJldi54bWxMj81OwzAQhO9IvIO1SNxa&#10;p5ASCHEqBMoJcaD8XZ14SSLsdRq7Tfr2bE9w290ZzX5TbGZnxQHH0HtSsFomIJAab3pqFby/VYtb&#10;ECFqMtp6QgVHDLApz88KnRs/0SsetrEVHEIh1wq6GIdcytB06HRY+gGJtW8/Oh15HVtpRj1xuLPy&#10;KklupNM98YdOD/jYYfOz3TsFO/+1e3keqsrWR/wMmj6eprRS6vJifrgHEXGOf2Y44TM6lMxU+z2Z&#10;IKyCxSpNuUzkKctSECfLOrtbg6j5lCbXIMtC/m9R/gIAAP//AwBQSwECLQAUAAYACAAAACEAtoM4&#10;kv4AAADhAQAAEwAAAAAAAAAAAAAAAAAAAAAAW0NvbnRlbnRfVHlwZXNdLnhtbFBLAQItABQABgAI&#10;AAAAIQA4/SH/1gAAAJQBAAALAAAAAAAAAAAAAAAAAC8BAABfcmVscy8ucmVsc1BLAQItABQABgAI&#10;AAAAIQCkUtRpiAIAAJIFAAAOAAAAAAAAAAAAAAAAAC4CAABkcnMvZTJvRG9jLnhtbFBLAQItABQA&#10;BgAIAAAAIQAmyFCB4QAAAA0BAAAPAAAAAAAAAAAAAAAAAOIEAABkcnMvZG93bnJldi54bWxQSwUG&#10;AAAAAAQABADzAAAA8AUAAAAA&#10;" fillcolor="#934e0d [1605]" stroked="f" strokeweight="1pt">
              <v:textbox>
                <w:txbxContent>
                  <w:p w14:paraId="0ABCDCE3" w14:textId="77777777" w:rsidR="00713729" w:rsidRDefault="00713729" w:rsidP="00713729">
                    <w:pPr>
                      <w:jc w:val="center"/>
                    </w:pPr>
                  </w:p>
                </w:txbxContent>
              </v:textbox>
            </v:rect>
          </w:pict>
        </mc:Fallback>
      </mc:AlternateContent>
    </w:r>
    <w:r w:rsidR="00705B2B">
      <w:t>Healthcare and Health Insurance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CC6C8" w14:textId="77777777" w:rsidR="00B31EFA" w:rsidRPr="00AC1FEC" w:rsidRDefault="00431C1D" w:rsidP="00713729">
    <w:pPr>
      <w:spacing w:after="0"/>
    </w:pPr>
    <w:r w:rsidRPr="005E288E">
      <w:rPr>
        <w:noProof/>
      </w:rPr>
      <mc:AlternateContent>
        <mc:Choice Requires="wps">
          <w:drawing>
            <wp:anchor distT="0" distB="0" distL="114300" distR="114300" simplePos="0" relativeHeight="251654139" behindDoc="1" locked="0" layoutInCell="1" allowOverlap="1" wp14:anchorId="4518135C" wp14:editId="47AB98CC">
              <wp:simplePos x="0" y="0"/>
              <wp:positionH relativeFrom="rightMargin">
                <wp:posOffset>-719455</wp:posOffset>
              </wp:positionH>
              <wp:positionV relativeFrom="paragraph">
                <wp:posOffset>-387985</wp:posOffset>
              </wp:positionV>
              <wp:extent cx="731520" cy="1816100"/>
              <wp:effectExtent l="0" t="0" r="0" b="0"/>
              <wp:wrapNone/>
              <wp:docPr id="4" name="Rectangle 4"/>
              <wp:cNvGraphicFramePr/>
              <a:graphic xmlns:a="http://schemas.openxmlformats.org/drawingml/2006/main">
                <a:graphicData uri="http://schemas.microsoft.com/office/word/2010/wordprocessingShape">
                  <wps:wsp>
                    <wps:cNvSpPr/>
                    <wps:spPr>
                      <a:xfrm>
                        <a:off x="0" y="0"/>
                        <a:ext cx="731520" cy="181610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12FC9F2" id="Rectangle 4" o:spid="_x0000_s1026" style="position:absolute;margin-left:-56.65pt;margin-top:-30.55pt;width:57.6pt;height:143pt;z-index:-25166234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L42pAIAAMMFAAAOAAAAZHJzL2Uyb0RvYy54bWysVN9P2zAQfp+0/8Hy+0jTFegiUlSBmCYx&#10;QMDEs3HsJpLt82y3affX72ynoWNsD9NeEvt+fXef7+7sfKsV2QjnOzA1LY8mlAjDoenMqqbfHq8+&#10;zCnxgZmGKTCipjvh6fni/buz3lZiCi2oRjiCQYyvelvTNgRbFYXnrdDMH4EVBpUSnGYBr25VNI71&#10;GF2rYjqZnBQ9uMY64MJ7lF5mJV2k+FIKHm6l9CIQVVPMLaSvS9/n+C0WZ6xaOWbbjg9psH/IQrPO&#10;IOgY6pIFRtau+y2U7rgDDzIccdAFSNlxkWrAasrJq2oeWmZFqgXJ8Xakyf+/sPxmc+dI19R0Rolh&#10;Gp/oHkljZqUEmUV6eusrtHqwd264eTzGWrfS6fjHKsg2UbobKRXbQDgKTz+Wx1MknqOqnJcn5SRx&#10;Xrx4W+fDZwGaxENNHaInJtnm2gdERNO9SQTzoLrmqlMqXWKbiAvlyIbhAzPOhQnT5K7W+is0WY6N&#10;kmFZhWJsiCye78UIkRouRkqAv4AoE6EMRNCcT5QUkZfMRDqFnRLRTpl7IZFQrD0nMkY+zLFMOfqW&#10;NSKLj/+YSwoYI0vEH2MPAd6qv4yvhiUN9tFVpEkYnScZ/W/Oo0dCBhNGZ90ZcG8FUGFEzvZ7kjI1&#10;kaVnaHbYbg7yHHrLrzp89Wvmwx1zOHjYKbhMwi1+pIK+pjCcKGnB/XhLHu1xHlBLSY+DXFP/fc2c&#10;oER9MTgpn8rZLE5+usyOT2M3ukPN86HGrPUFYCuVuLYsT8doH9T+KB3oJ9w5y4iKKmY4YteUB7e/&#10;XIS8YHBrcbFcJjOcdsvCtXmwPAaPrMauftw+MWeH1g84NDewH3pWvZqAbBs9DSzXAWSXxuOF14Fv&#10;3BTp/YetFlfR4T1ZvezexU8AAAD//wMAUEsDBBQABgAIAAAAIQDkxO/O4AAAAAoBAAAPAAAAZHJz&#10;L2Rvd25yZXYueG1sTI/RSsMwFIbvBd8hHMEb2dKkZa616ZCBIAiKnQ+QNWdtsTkpTdbVtze70rtz&#10;OB//+f5yt9iBzTj53pECsU6AITXO9NQq+Dq8rLbAfNBk9OAIFfygh111e1PqwrgLfeJch5bFEPKF&#10;VtCFMBac+6ZDq/3ajUjxdnKT1SGuU8vNpC8x3A5cJsmGW91T/NDpEfcdNt/12SoI+cc8Pzzu39v6&#10;9ZBKK7P2bcmUur9bnp+ABVzCHwxX/agOVXQ6ujMZzwYFKyHSNLJx2ggB7IrkwI4KpMxy4FXJ/1eo&#10;fgEAAP//AwBQSwECLQAUAAYACAAAACEAtoM4kv4AAADhAQAAEwAAAAAAAAAAAAAAAAAAAAAAW0Nv&#10;bnRlbnRfVHlwZXNdLnhtbFBLAQItABQABgAIAAAAIQA4/SH/1gAAAJQBAAALAAAAAAAAAAAAAAAA&#10;AC8BAABfcmVscy8ucmVsc1BLAQItABQABgAIAAAAIQBnzL42pAIAAMMFAAAOAAAAAAAAAAAAAAAA&#10;AC4CAABkcnMvZTJvRG9jLnhtbFBLAQItABQABgAIAAAAIQDkxO/O4AAAAAoBAAAPAAAAAAAAAAAA&#10;AAAAAP4EAABkcnMvZG93bnJldi54bWxQSwUGAAAAAAQABADzAAAACwYAAAAA&#10;" fillcolor="#fcebdc [661]" stroked="f" strokeweight="1pt">
              <w10:wrap anchorx="margin"/>
            </v:rect>
          </w:pict>
        </mc:Fallback>
      </mc:AlternateContent>
    </w:r>
    <w:r w:rsidR="00713729" w:rsidRPr="005E288E">
      <w:rPr>
        <w:rStyle w:val="TitleChar"/>
        <w:noProof/>
        <w:color w:val="335F67" w:themeColor="accent6"/>
        <w:sz w:val="56"/>
      </w:rPr>
      <w:drawing>
        <wp:anchor distT="0" distB="0" distL="114300" distR="114300" simplePos="0" relativeHeight="251685888" behindDoc="1" locked="0" layoutInCell="1" allowOverlap="1" wp14:anchorId="1D11A4ED" wp14:editId="48F0D145">
          <wp:simplePos x="0" y="0"/>
          <wp:positionH relativeFrom="rightMargin">
            <wp:posOffset>-628015</wp:posOffset>
          </wp:positionH>
          <wp:positionV relativeFrom="page">
            <wp:posOffset>603250</wp:posOffset>
          </wp:positionV>
          <wp:extent cx="566420" cy="676275"/>
          <wp:effectExtent l="0" t="0" r="5080" b="0"/>
          <wp:wrapNone/>
          <wp:docPr id="7" name="Picture 7" descr="Colorado State Capitol logo" title="L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OME 2023-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6420" cy="676275"/>
                  </a:xfrm>
                  <a:prstGeom prst="rect">
                    <a:avLst/>
                  </a:prstGeom>
                </pic:spPr>
              </pic:pic>
            </a:graphicData>
          </a:graphic>
          <wp14:sizeRelH relativeFrom="margin">
            <wp14:pctWidth>0</wp14:pctWidth>
          </wp14:sizeRelH>
          <wp14:sizeRelV relativeFrom="margin">
            <wp14:pctHeight>0</wp14:pctHeight>
          </wp14:sizeRelV>
        </wp:anchor>
      </w:drawing>
    </w:r>
    <w:r w:rsidR="00713729" w:rsidRPr="005E288E">
      <w:rPr>
        <w:rFonts w:eastAsiaTheme="majorEastAsia"/>
        <w:noProof/>
        <w:spacing w:val="-10"/>
        <w:kern w:val="28"/>
      </w:rPr>
      <mc:AlternateContent>
        <mc:Choice Requires="wps">
          <w:drawing>
            <wp:anchor distT="0" distB="0" distL="114300" distR="114300" simplePos="0" relativeHeight="251689984" behindDoc="0" locked="0" layoutInCell="1" allowOverlap="1" wp14:anchorId="59990E3F" wp14:editId="5FC459FB">
              <wp:simplePos x="0" y="0"/>
              <wp:positionH relativeFrom="column">
                <wp:posOffset>-1257300</wp:posOffset>
              </wp:positionH>
              <wp:positionV relativeFrom="paragraph">
                <wp:posOffset>-42545</wp:posOffset>
              </wp:positionV>
              <wp:extent cx="10944225" cy="235743"/>
              <wp:effectExtent l="0" t="0" r="9525" b="0"/>
              <wp:wrapNone/>
              <wp:docPr id="22" name="Rectangle 22"/>
              <wp:cNvGraphicFramePr/>
              <a:graphic xmlns:a="http://schemas.openxmlformats.org/drawingml/2006/main">
                <a:graphicData uri="http://schemas.microsoft.com/office/word/2010/wordprocessingShape">
                  <wps:wsp>
                    <wps:cNvSpPr/>
                    <wps:spPr>
                      <a:xfrm>
                        <a:off x="0" y="0"/>
                        <a:ext cx="10944225" cy="235743"/>
                      </a:xfrm>
                      <a:prstGeom prst="rect">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0E3CFB" w14:textId="77777777" w:rsidR="000716CB" w:rsidRDefault="000716CB" w:rsidP="000716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9990E3F" id="Rectangle 22" o:spid="_x0000_s1027" style="position:absolute;margin-left:-99pt;margin-top:-3.35pt;width:861.75pt;height:18.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fhAjAIAAJkFAAAOAAAAZHJzL2Uyb0RvYy54bWysVE1v2zAMvQ/YfxB0X/3RZF2DOkXQosOA&#10;bi3WDj0rslQbkERNUmJnv36U7DhZV2zAMB9kSSQfySeSF5e9VmQrnG/BVLQ4ySkRhkPdmueKfnu8&#10;efeBEh+YqZkCIyq6E55eLt++uejsQpTQgKqFIwhi/KKzFW1CsIss87wRmvkTsMKgUILTLODRPWe1&#10;Yx2ia5WVef4+68DV1gEX3uPt9SCky4QvpeDhTkovAlEVxdhCWl1a13HNlhds8eyYbVo+hsH+IQrN&#10;WoNOJ6hrFhjZuPY3KN1yBx5kOOGgM5Cy5SLlgNkU+YtsHhpmRcoFyfF2osn/P1j+Zftg7x3S0Fm/&#10;8LiNWfTS6fjH+EifyNpNZIk+EI6XRX4+m5XlnBKOwvJ0fjY7jXRmB3PrfPgoQJO4qajD10gkse2t&#10;D4PqXiV686Da+qZVKh1iBYgr5ciW4dsxzoUJZTJXG/0Z6uF+nuM3uk1FE01SEL+gKRMxDUT0wXG8&#10;yQ45p13YKRH1lPkqJGlrzHLwOCEfB1OkYHzDavG3WBJgRJbof8IeAV5LtBhTGvWjqUjVPBnng/c/&#10;GU8WyTOYMBnr1oB7DUCFyfOgvydpoCayFPp1j9xgAcQY480a6t29Iw6G7vKW37T44LfMh3vmsJ2w&#10;8XBEhDtcpIKuojDuKGnA/XjtPupjlaOUkg7bs6L++4Y5QYn6ZLD+z4vZLPZzOszmZyUe3LFkfSwx&#10;G30FWEUFDiPL0zbqB7XfSgf6CSfJKnpFETMcfVeUB7c/XIVhbOAs4mK1SmrYw5aFW/NgeQSPPMeC&#10;fuyfmLNj1QdsmC+wb2W2eFH8g260NLDaBJBt6owDr+MLYP+nsh5nVRwwx+ekdZioy58AAAD//wMA&#10;UEsDBBQABgAIAAAAIQAUtMxG4AAAAAsBAAAPAAAAZHJzL2Rvd25yZXYueG1sTI/NTsMwEITvSLyD&#10;tUjcWqelKSXEqRAoJ8SB8nfdxEsSYa/T2G3St8c9wW1WM5r9Jt9O1ogjDb5zrGAxT0AQ10533Ch4&#10;fytnGxA+IGs0jknBiTxsi8uLHDPtRn6l4y40Ipawz1BBG0KfSenrliz6ueuJo/ftBoshnkMj9YBj&#10;LLdGLpNkLS12HD+02NNjS/XP7mAV7N3X/uW5L0tTnejTI388jatSqeur6eEeRKAp/IXhjB/RoYhM&#10;lTuw9sIomC3uNnFMiGp9C+KcSJdpCqJScJOsQBa5/L+h+AUAAP//AwBQSwECLQAUAAYACAAAACEA&#10;toM4kv4AAADhAQAAEwAAAAAAAAAAAAAAAAAAAAAAW0NvbnRlbnRfVHlwZXNdLnhtbFBLAQItABQA&#10;BgAIAAAAIQA4/SH/1gAAAJQBAAALAAAAAAAAAAAAAAAAAC8BAABfcmVscy8ucmVsc1BLAQItABQA&#10;BgAIAAAAIQDRTfhAjAIAAJkFAAAOAAAAAAAAAAAAAAAAAC4CAABkcnMvZTJvRG9jLnhtbFBLAQIt&#10;ABQABgAIAAAAIQAUtMxG4AAAAAsBAAAPAAAAAAAAAAAAAAAAAOYEAABkcnMvZG93bnJldi54bWxQ&#10;SwUGAAAAAAQABADzAAAA8wUAAAAA&#10;" fillcolor="#934e0d [1605]" stroked="f" strokeweight="1pt">
              <v:textbox>
                <w:txbxContent>
                  <w:p w14:paraId="690E3CFB" w14:textId="77777777" w:rsidR="000716CB" w:rsidRDefault="000716CB" w:rsidP="000716CB">
                    <w:pPr>
                      <w:jc w:val="cente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567E2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FB635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74625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7AE5EF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8275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5F4877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8438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DEF7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FDC8F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8AFF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5F3E43"/>
    <w:multiLevelType w:val="multilevel"/>
    <w:tmpl w:val="735ACF72"/>
    <w:styleLink w:val="LeftBulletListLong"/>
    <w:lvl w:ilvl="0">
      <w:start w:val="1"/>
      <w:numFmt w:val="bullet"/>
      <w:pStyle w:val="ListBullet1Long"/>
      <w:lvlText w:val="●"/>
      <w:lvlJc w:val="left"/>
      <w:pPr>
        <w:tabs>
          <w:tab w:val="num" w:pos="360"/>
        </w:tabs>
        <w:ind w:left="360" w:hanging="360"/>
      </w:pPr>
      <w:rPr>
        <w:rFonts w:ascii="Arial" w:hAnsi="Arial" w:hint="default"/>
      </w:rPr>
    </w:lvl>
    <w:lvl w:ilvl="1">
      <w:start w:val="1"/>
      <w:numFmt w:val="bullet"/>
      <w:pStyle w:val="ListBullet2Long"/>
      <w:lvlText w:val="○"/>
      <w:lvlJc w:val="left"/>
      <w:pPr>
        <w:tabs>
          <w:tab w:val="num" w:pos="720"/>
        </w:tabs>
        <w:ind w:left="720" w:hanging="360"/>
      </w:pPr>
      <w:rPr>
        <w:rFonts w:ascii="Arial" w:hAnsi="Arial" w:hint="default"/>
      </w:rPr>
    </w:lvl>
    <w:lvl w:ilvl="2">
      <w:start w:val="1"/>
      <w:numFmt w:val="bullet"/>
      <w:pStyle w:val="ListBullet3Long"/>
      <w:lvlText w:val="■"/>
      <w:lvlJc w:val="left"/>
      <w:pPr>
        <w:tabs>
          <w:tab w:val="num" w:pos="1080"/>
        </w:tabs>
        <w:ind w:left="1080" w:hanging="360"/>
      </w:pPr>
      <w:rPr>
        <w:rFonts w:ascii="Arial" w:hAnsi="Arial" w:hint="default"/>
        <w:sz w:val="18"/>
      </w:rPr>
    </w:lvl>
    <w:lvl w:ilvl="3">
      <w:start w:val="1"/>
      <w:numFmt w:val="bullet"/>
      <w:pStyle w:val="ListBullet4Long"/>
      <w:lvlText w:val="●"/>
      <w:lvlJc w:val="left"/>
      <w:pPr>
        <w:tabs>
          <w:tab w:val="num" w:pos="1440"/>
        </w:tabs>
        <w:ind w:left="1440" w:hanging="360"/>
      </w:pPr>
      <w:rPr>
        <w:rFonts w:ascii="Arial" w:hAnsi="Arial" w:hint="default"/>
      </w:rPr>
    </w:lvl>
    <w:lvl w:ilvl="4">
      <w:start w:val="1"/>
      <w:numFmt w:val="bullet"/>
      <w:pStyle w:val="ListBullet5Long"/>
      <w:lvlText w:val="○"/>
      <w:lvlJc w:val="left"/>
      <w:pPr>
        <w:tabs>
          <w:tab w:val="num" w:pos="1800"/>
        </w:tabs>
        <w:ind w:left="1800" w:hanging="360"/>
      </w:pPr>
      <w:rPr>
        <w:rFonts w:ascii="Arial" w:hAnsi="Arial" w:hint="default"/>
      </w:rPr>
    </w:lvl>
    <w:lvl w:ilvl="5">
      <w:start w:val="1"/>
      <w:numFmt w:val="bullet"/>
      <w:lvlText w:val="■"/>
      <w:lvlJc w:val="left"/>
      <w:pPr>
        <w:tabs>
          <w:tab w:val="num" w:pos="2160"/>
        </w:tabs>
        <w:ind w:left="2160" w:hanging="360"/>
      </w:pPr>
      <w:rPr>
        <w:rFonts w:ascii="Arial" w:hAnsi="Arial" w:hint="default"/>
        <w:sz w:val="18"/>
      </w:rPr>
    </w:lvl>
    <w:lvl w:ilvl="6">
      <w:start w:val="1"/>
      <w:numFmt w:val="bullet"/>
      <w:lvlText w:val="●"/>
      <w:lvlJc w:val="left"/>
      <w:pPr>
        <w:tabs>
          <w:tab w:val="num" w:pos="2520"/>
        </w:tabs>
        <w:ind w:left="2520" w:hanging="360"/>
      </w:pPr>
      <w:rPr>
        <w:rFonts w:ascii="Arial" w:hAnsi="Arial" w:hint="default"/>
      </w:rPr>
    </w:lvl>
    <w:lvl w:ilvl="7">
      <w:start w:val="1"/>
      <w:numFmt w:val="bullet"/>
      <w:lvlText w:val="○"/>
      <w:lvlJc w:val="left"/>
      <w:pPr>
        <w:tabs>
          <w:tab w:val="num" w:pos="2880"/>
        </w:tabs>
        <w:ind w:left="2880" w:hanging="360"/>
      </w:pPr>
      <w:rPr>
        <w:rFonts w:ascii="Arial" w:hAnsi="Arial" w:hint="default"/>
      </w:rPr>
    </w:lvl>
    <w:lvl w:ilvl="8">
      <w:start w:val="1"/>
      <w:numFmt w:val="bullet"/>
      <w:lvlText w:val="■"/>
      <w:lvlJc w:val="left"/>
      <w:pPr>
        <w:tabs>
          <w:tab w:val="num" w:pos="3240"/>
        </w:tabs>
        <w:ind w:left="3240" w:hanging="360"/>
      </w:pPr>
      <w:rPr>
        <w:rFonts w:ascii="Arial" w:hAnsi="Arial" w:hint="default"/>
        <w:sz w:val="18"/>
      </w:rPr>
    </w:lvl>
  </w:abstractNum>
  <w:abstractNum w:abstractNumId="11" w15:restartNumberingAfterBreak="0">
    <w:nsid w:val="49DC4D44"/>
    <w:multiLevelType w:val="multilevel"/>
    <w:tmpl w:val="8BCA4B9A"/>
    <w:styleLink w:val="LeftBulletList"/>
    <w:lvl w:ilvl="0">
      <w:start w:val="1"/>
      <w:numFmt w:val="bullet"/>
      <w:pStyle w:val="ListBullet"/>
      <w:lvlText w:val="●"/>
      <w:lvlJc w:val="left"/>
      <w:pPr>
        <w:tabs>
          <w:tab w:val="num" w:pos="360"/>
        </w:tabs>
        <w:ind w:left="360" w:hanging="360"/>
      </w:pPr>
      <w:rPr>
        <w:rFonts w:ascii="Arial" w:hAnsi="Arial" w:hint="default"/>
      </w:rPr>
    </w:lvl>
    <w:lvl w:ilvl="1">
      <w:start w:val="1"/>
      <w:numFmt w:val="bullet"/>
      <w:pStyle w:val="ListBullet2"/>
      <w:lvlText w:val="○"/>
      <w:lvlJc w:val="left"/>
      <w:pPr>
        <w:tabs>
          <w:tab w:val="num" w:pos="720"/>
        </w:tabs>
        <w:ind w:left="720" w:hanging="360"/>
      </w:pPr>
      <w:rPr>
        <w:rFonts w:ascii="Arial" w:hAnsi="Arial" w:hint="default"/>
      </w:rPr>
    </w:lvl>
    <w:lvl w:ilvl="2">
      <w:start w:val="1"/>
      <w:numFmt w:val="bullet"/>
      <w:pStyle w:val="ListBullet3"/>
      <w:lvlText w:val="■"/>
      <w:lvlJc w:val="left"/>
      <w:pPr>
        <w:tabs>
          <w:tab w:val="num" w:pos="1080"/>
        </w:tabs>
        <w:ind w:left="1080" w:hanging="360"/>
      </w:pPr>
      <w:rPr>
        <w:rFonts w:ascii="Arial" w:hAnsi="Arial" w:hint="default"/>
        <w:sz w:val="18"/>
      </w:rPr>
    </w:lvl>
    <w:lvl w:ilvl="3">
      <w:start w:val="1"/>
      <w:numFmt w:val="bullet"/>
      <w:pStyle w:val="ListBullet4"/>
      <w:lvlText w:val="●"/>
      <w:lvlJc w:val="left"/>
      <w:pPr>
        <w:tabs>
          <w:tab w:val="num" w:pos="1440"/>
        </w:tabs>
        <w:ind w:left="1440" w:hanging="360"/>
      </w:pPr>
      <w:rPr>
        <w:rFonts w:ascii="Arial" w:hAnsi="Arial" w:hint="default"/>
      </w:rPr>
    </w:lvl>
    <w:lvl w:ilvl="4">
      <w:start w:val="1"/>
      <w:numFmt w:val="bullet"/>
      <w:pStyle w:val="ListBullet5"/>
      <w:lvlText w:val="○"/>
      <w:lvlJc w:val="left"/>
      <w:pPr>
        <w:tabs>
          <w:tab w:val="num" w:pos="1800"/>
        </w:tabs>
        <w:ind w:left="1800" w:hanging="360"/>
      </w:pPr>
      <w:rPr>
        <w:rFonts w:ascii="Arial" w:hAnsi="Arial" w:hint="default"/>
      </w:rPr>
    </w:lvl>
    <w:lvl w:ilvl="5">
      <w:start w:val="1"/>
      <w:numFmt w:val="bullet"/>
      <w:lvlText w:val="■"/>
      <w:lvlJc w:val="left"/>
      <w:pPr>
        <w:tabs>
          <w:tab w:val="num" w:pos="2160"/>
        </w:tabs>
        <w:ind w:left="2160" w:hanging="360"/>
      </w:pPr>
      <w:rPr>
        <w:rFonts w:ascii="Arial" w:hAnsi="Arial" w:hint="default"/>
        <w:sz w:val="18"/>
      </w:rPr>
    </w:lvl>
    <w:lvl w:ilvl="6">
      <w:start w:val="1"/>
      <w:numFmt w:val="bullet"/>
      <w:lvlText w:val="●"/>
      <w:lvlJc w:val="left"/>
      <w:pPr>
        <w:tabs>
          <w:tab w:val="num" w:pos="2520"/>
        </w:tabs>
        <w:ind w:left="2520" w:hanging="360"/>
      </w:pPr>
      <w:rPr>
        <w:rFonts w:ascii="Arial" w:hAnsi="Arial" w:hint="default"/>
      </w:rPr>
    </w:lvl>
    <w:lvl w:ilvl="7">
      <w:start w:val="1"/>
      <w:numFmt w:val="bullet"/>
      <w:lvlText w:val="○"/>
      <w:lvlJc w:val="left"/>
      <w:pPr>
        <w:tabs>
          <w:tab w:val="num" w:pos="2880"/>
        </w:tabs>
        <w:ind w:left="2880" w:hanging="360"/>
      </w:pPr>
      <w:rPr>
        <w:rFonts w:ascii="Arial" w:hAnsi="Arial" w:hint="default"/>
      </w:rPr>
    </w:lvl>
    <w:lvl w:ilvl="8">
      <w:start w:val="1"/>
      <w:numFmt w:val="bullet"/>
      <w:lvlText w:val="■"/>
      <w:lvlJc w:val="left"/>
      <w:pPr>
        <w:tabs>
          <w:tab w:val="num" w:pos="3240"/>
        </w:tabs>
        <w:ind w:left="3240" w:hanging="360"/>
      </w:pPr>
      <w:rPr>
        <w:rFonts w:ascii="Arial" w:hAnsi="Arial" w:hint="default"/>
        <w:sz w:val="18"/>
      </w:rPr>
    </w:lvl>
  </w:abstractNum>
  <w:abstractNum w:abstractNumId="12" w15:restartNumberingAfterBreak="0">
    <w:nsid w:val="5CF207E6"/>
    <w:multiLevelType w:val="hybridMultilevel"/>
    <w:tmpl w:val="578CF8B0"/>
    <w:lvl w:ilvl="0" w:tplc="321E1DCA">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15D48B7"/>
    <w:multiLevelType w:val="multilevel"/>
    <w:tmpl w:val="735ACF72"/>
    <w:numStyleLink w:val="LeftBulletListLong"/>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lia Jackson">
    <w15:presenceInfo w15:providerId="None" w15:userId="Julia Jackson"/>
  </w15:person>
  <w15:person w15:author="Julia Jackson [2]">
    <w15:presenceInfo w15:providerId="AD" w15:userId="S-1-5-21-44068718-210004733-701057205-139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9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DF1"/>
    <w:rsid w:val="00001074"/>
    <w:rsid w:val="00001FBF"/>
    <w:rsid w:val="00004510"/>
    <w:rsid w:val="00007CF6"/>
    <w:rsid w:val="00013124"/>
    <w:rsid w:val="00022FA1"/>
    <w:rsid w:val="00023361"/>
    <w:rsid w:val="00032356"/>
    <w:rsid w:val="000347A1"/>
    <w:rsid w:val="000364CE"/>
    <w:rsid w:val="00037768"/>
    <w:rsid w:val="00045CBB"/>
    <w:rsid w:val="000548D1"/>
    <w:rsid w:val="000564CF"/>
    <w:rsid w:val="00061AD8"/>
    <w:rsid w:val="00062333"/>
    <w:rsid w:val="0006578C"/>
    <w:rsid w:val="000716CB"/>
    <w:rsid w:val="00082CC1"/>
    <w:rsid w:val="000863DB"/>
    <w:rsid w:val="00090063"/>
    <w:rsid w:val="000918A5"/>
    <w:rsid w:val="000957A5"/>
    <w:rsid w:val="000968B7"/>
    <w:rsid w:val="000B04BE"/>
    <w:rsid w:val="000B0570"/>
    <w:rsid w:val="000B27E6"/>
    <w:rsid w:val="000C460B"/>
    <w:rsid w:val="000C5441"/>
    <w:rsid w:val="000C74D0"/>
    <w:rsid w:val="000C75B1"/>
    <w:rsid w:val="000C7956"/>
    <w:rsid w:val="000D3904"/>
    <w:rsid w:val="000E13D5"/>
    <w:rsid w:val="000E4EC8"/>
    <w:rsid w:val="000F41EE"/>
    <w:rsid w:val="000F4751"/>
    <w:rsid w:val="001029D4"/>
    <w:rsid w:val="00103CCD"/>
    <w:rsid w:val="00111AA3"/>
    <w:rsid w:val="00120E01"/>
    <w:rsid w:val="001267E9"/>
    <w:rsid w:val="00133C8B"/>
    <w:rsid w:val="00152EA0"/>
    <w:rsid w:val="00160AEC"/>
    <w:rsid w:val="00183F06"/>
    <w:rsid w:val="00185D8F"/>
    <w:rsid w:val="00195195"/>
    <w:rsid w:val="00196808"/>
    <w:rsid w:val="001A4CB0"/>
    <w:rsid w:val="001A6B0F"/>
    <w:rsid w:val="001B26C4"/>
    <w:rsid w:val="001B73AE"/>
    <w:rsid w:val="001D0C54"/>
    <w:rsid w:val="001D2732"/>
    <w:rsid w:val="001E1709"/>
    <w:rsid w:val="001E45EF"/>
    <w:rsid w:val="001E476C"/>
    <w:rsid w:val="001F0A6B"/>
    <w:rsid w:val="001F37B2"/>
    <w:rsid w:val="001F3AF8"/>
    <w:rsid w:val="001F74A1"/>
    <w:rsid w:val="00203FA9"/>
    <w:rsid w:val="00204504"/>
    <w:rsid w:val="002126E1"/>
    <w:rsid w:val="002131B3"/>
    <w:rsid w:val="00222C59"/>
    <w:rsid w:val="002256C4"/>
    <w:rsid w:val="00244674"/>
    <w:rsid w:val="002460D0"/>
    <w:rsid w:val="00253DEB"/>
    <w:rsid w:val="0026656D"/>
    <w:rsid w:val="0028351D"/>
    <w:rsid w:val="002907D1"/>
    <w:rsid w:val="00295D5B"/>
    <w:rsid w:val="002A3016"/>
    <w:rsid w:val="002A4F63"/>
    <w:rsid w:val="002B20CB"/>
    <w:rsid w:val="002C1037"/>
    <w:rsid w:val="002D2FE1"/>
    <w:rsid w:val="002D661E"/>
    <w:rsid w:val="002E2293"/>
    <w:rsid w:val="002E7F37"/>
    <w:rsid w:val="002F0689"/>
    <w:rsid w:val="002F1063"/>
    <w:rsid w:val="002F11C9"/>
    <w:rsid w:val="002F283A"/>
    <w:rsid w:val="002F72E1"/>
    <w:rsid w:val="00300A0B"/>
    <w:rsid w:val="00322B7D"/>
    <w:rsid w:val="00327D11"/>
    <w:rsid w:val="003343F5"/>
    <w:rsid w:val="00334CD7"/>
    <w:rsid w:val="00342DF1"/>
    <w:rsid w:val="00346412"/>
    <w:rsid w:val="00350DAD"/>
    <w:rsid w:val="00353EF6"/>
    <w:rsid w:val="003670DF"/>
    <w:rsid w:val="00375288"/>
    <w:rsid w:val="00376346"/>
    <w:rsid w:val="0038004F"/>
    <w:rsid w:val="00387A6D"/>
    <w:rsid w:val="00397C98"/>
    <w:rsid w:val="003B0781"/>
    <w:rsid w:val="003B4BCE"/>
    <w:rsid w:val="003B4EB9"/>
    <w:rsid w:val="003B6011"/>
    <w:rsid w:val="003C189B"/>
    <w:rsid w:val="003C1961"/>
    <w:rsid w:val="003D09F0"/>
    <w:rsid w:val="003D15AC"/>
    <w:rsid w:val="003D69E7"/>
    <w:rsid w:val="003E5923"/>
    <w:rsid w:val="003F26FC"/>
    <w:rsid w:val="004003B1"/>
    <w:rsid w:val="00401F7D"/>
    <w:rsid w:val="004117DB"/>
    <w:rsid w:val="00411CF1"/>
    <w:rsid w:val="00421007"/>
    <w:rsid w:val="00422641"/>
    <w:rsid w:val="00423F07"/>
    <w:rsid w:val="00431720"/>
    <w:rsid w:val="00431A1E"/>
    <w:rsid w:val="00431C1D"/>
    <w:rsid w:val="00432EDA"/>
    <w:rsid w:val="00444BB2"/>
    <w:rsid w:val="00451D05"/>
    <w:rsid w:val="00454D55"/>
    <w:rsid w:val="00454FCA"/>
    <w:rsid w:val="00457AFA"/>
    <w:rsid w:val="00461CFF"/>
    <w:rsid w:val="00474EDB"/>
    <w:rsid w:val="00481A71"/>
    <w:rsid w:val="00492600"/>
    <w:rsid w:val="00492974"/>
    <w:rsid w:val="00493778"/>
    <w:rsid w:val="00494339"/>
    <w:rsid w:val="004A561D"/>
    <w:rsid w:val="004B39C5"/>
    <w:rsid w:val="004B3C0E"/>
    <w:rsid w:val="004C6641"/>
    <w:rsid w:val="004D02D9"/>
    <w:rsid w:val="004D38F4"/>
    <w:rsid w:val="004E522A"/>
    <w:rsid w:val="004E7404"/>
    <w:rsid w:val="004F130A"/>
    <w:rsid w:val="004F32C7"/>
    <w:rsid w:val="004F6B68"/>
    <w:rsid w:val="00500F8F"/>
    <w:rsid w:val="00507480"/>
    <w:rsid w:val="00512204"/>
    <w:rsid w:val="005144A7"/>
    <w:rsid w:val="00522AE6"/>
    <w:rsid w:val="00523C2F"/>
    <w:rsid w:val="00527652"/>
    <w:rsid w:val="00541D19"/>
    <w:rsid w:val="00544466"/>
    <w:rsid w:val="00547F2C"/>
    <w:rsid w:val="00552B8B"/>
    <w:rsid w:val="00564C09"/>
    <w:rsid w:val="0056765C"/>
    <w:rsid w:val="00586933"/>
    <w:rsid w:val="00596F29"/>
    <w:rsid w:val="005A2F16"/>
    <w:rsid w:val="005A53BC"/>
    <w:rsid w:val="005B5C08"/>
    <w:rsid w:val="005D5ACD"/>
    <w:rsid w:val="005D7177"/>
    <w:rsid w:val="005D7B88"/>
    <w:rsid w:val="005E288E"/>
    <w:rsid w:val="005F6CA8"/>
    <w:rsid w:val="00606AA9"/>
    <w:rsid w:val="00610207"/>
    <w:rsid w:val="00614090"/>
    <w:rsid w:val="006171B9"/>
    <w:rsid w:val="006250ED"/>
    <w:rsid w:val="00632539"/>
    <w:rsid w:val="006378D6"/>
    <w:rsid w:val="0064321D"/>
    <w:rsid w:val="00645020"/>
    <w:rsid w:val="00657161"/>
    <w:rsid w:val="00661556"/>
    <w:rsid w:val="00662856"/>
    <w:rsid w:val="00663029"/>
    <w:rsid w:val="0066508B"/>
    <w:rsid w:val="00674CD4"/>
    <w:rsid w:val="00676902"/>
    <w:rsid w:val="00677FAB"/>
    <w:rsid w:val="00680C96"/>
    <w:rsid w:val="006821E3"/>
    <w:rsid w:val="00687A68"/>
    <w:rsid w:val="0069208C"/>
    <w:rsid w:val="00694DF5"/>
    <w:rsid w:val="00695DF0"/>
    <w:rsid w:val="00697916"/>
    <w:rsid w:val="006A170E"/>
    <w:rsid w:val="006B3B6A"/>
    <w:rsid w:val="006B63E1"/>
    <w:rsid w:val="006B7009"/>
    <w:rsid w:val="006C2A2D"/>
    <w:rsid w:val="006C6165"/>
    <w:rsid w:val="006D1DBA"/>
    <w:rsid w:val="006D28B1"/>
    <w:rsid w:val="006E2A08"/>
    <w:rsid w:val="006F1816"/>
    <w:rsid w:val="00705B2B"/>
    <w:rsid w:val="0070627B"/>
    <w:rsid w:val="00713729"/>
    <w:rsid w:val="00716AD4"/>
    <w:rsid w:val="0072379F"/>
    <w:rsid w:val="007255BA"/>
    <w:rsid w:val="00727977"/>
    <w:rsid w:val="00731C48"/>
    <w:rsid w:val="00742C85"/>
    <w:rsid w:val="00755F15"/>
    <w:rsid w:val="007561EC"/>
    <w:rsid w:val="007700F9"/>
    <w:rsid w:val="0077093C"/>
    <w:rsid w:val="00776CF4"/>
    <w:rsid w:val="00781AAB"/>
    <w:rsid w:val="00787483"/>
    <w:rsid w:val="007877DE"/>
    <w:rsid w:val="007975AC"/>
    <w:rsid w:val="007A0AA4"/>
    <w:rsid w:val="007A546D"/>
    <w:rsid w:val="007A6A91"/>
    <w:rsid w:val="007B2C78"/>
    <w:rsid w:val="007D0094"/>
    <w:rsid w:val="007D0C0D"/>
    <w:rsid w:val="007D7F63"/>
    <w:rsid w:val="007E2069"/>
    <w:rsid w:val="007E68C1"/>
    <w:rsid w:val="007F5944"/>
    <w:rsid w:val="00803BEB"/>
    <w:rsid w:val="008043C9"/>
    <w:rsid w:val="00806611"/>
    <w:rsid w:val="0081357A"/>
    <w:rsid w:val="0081719D"/>
    <w:rsid w:val="00820723"/>
    <w:rsid w:val="008271D9"/>
    <w:rsid w:val="0083101A"/>
    <w:rsid w:val="00832161"/>
    <w:rsid w:val="00854CD4"/>
    <w:rsid w:val="008601B0"/>
    <w:rsid w:val="00861DF1"/>
    <w:rsid w:val="00861ECE"/>
    <w:rsid w:val="00882DBC"/>
    <w:rsid w:val="00884328"/>
    <w:rsid w:val="00886905"/>
    <w:rsid w:val="00891582"/>
    <w:rsid w:val="008A1539"/>
    <w:rsid w:val="008A5EE8"/>
    <w:rsid w:val="008A6983"/>
    <w:rsid w:val="008C60AC"/>
    <w:rsid w:val="008D5AEE"/>
    <w:rsid w:val="008E0C0D"/>
    <w:rsid w:val="008F031D"/>
    <w:rsid w:val="008F6019"/>
    <w:rsid w:val="00904470"/>
    <w:rsid w:val="00906AB2"/>
    <w:rsid w:val="00920398"/>
    <w:rsid w:val="00921A77"/>
    <w:rsid w:val="0092208B"/>
    <w:rsid w:val="0092248F"/>
    <w:rsid w:val="00932D7E"/>
    <w:rsid w:val="00935703"/>
    <w:rsid w:val="00940BB2"/>
    <w:rsid w:val="00944A9F"/>
    <w:rsid w:val="009464FD"/>
    <w:rsid w:val="00956623"/>
    <w:rsid w:val="00971628"/>
    <w:rsid w:val="00980827"/>
    <w:rsid w:val="009861FC"/>
    <w:rsid w:val="009878D0"/>
    <w:rsid w:val="00994AF6"/>
    <w:rsid w:val="009966EF"/>
    <w:rsid w:val="009A1602"/>
    <w:rsid w:val="009A23C8"/>
    <w:rsid w:val="009A37CC"/>
    <w:rsid w:val="009A5B40"/>
    <w:rsid w:val="009A7E09"/>
    <w:rsid w:val="009C08B9"/>
    <w:rsid w:val="009C7CE3"/>
    <w:rsid w:val="009D0ADF"/>
    <w:rsid w:val="009F56A1"/>
    <w:rsid w:val="009F5B65"/>
    <w:rsid w:val="009F7747"/>
    <w:rsid w:val="00A0218E"/>
    <w:rsid w:val="00A0398A"/>
    <w:rsid w:val="00A05DA6"/>
    <w:rsid w:val="00A11E4C"/>
    <w:rsid w:val="00A126EB"/>
    <w:rsid w:val="00A155B1"/>
    <w:rsid w:val="00A173BB"/>
    <w:rsid w:val="00A17EAA"/>
    <w:rsid w:val="00A20B39"/>
    <w:rsid w:val="00A25A85"/>
    <w:rsid w:val="00A32927"/>
    <w:rsid w:val="00A33AD8"/>
    <w:rsid w:val="00A34F84"/>
    <w:rsid w:val="00A366EB"/>
    <w:rsid w:val="00A40AB5"/>
    <w:rsid w:val="00A50421"/>
    <w:rsid w:val="00A607F0"/>
    <w:rsid w:val="00A625C6"/>
    <w:rsid w:val="00A65FEB"/>
    <w:rsid w:val="00A67461"/>
    <w:rsid w:val="00A728C2"/>
    <w:rsid w:val="00A84B68"/>
    <w:rsid w:val="00A86257"/>
    <w:rsid w:val="00A8737E"/>
    <w:rsid w:val="00A87D4A"/>
    <w:rsid w:val="00A9601C"/>
    <w:rsid w:val="00AA41B5"/>
    <w:rsid w:val="00AA66A4"/>
    <w:rsid w:val="00AB37F9"/>
    <w:rsid w:val="00AB4B53"/>
    <w:rsid w:val="00AB79F5"/>
    <w:rsid w:val="00AC1225"/>
    <w:rsid w:val="00AC1FEC"/>
    <w:rsid w:val="00AD0D10"/>
    <w:rsid w:val="00AD56C7"/>
    <w:rsid w:val="00AE48C7"/>
    <w:rsid w:val="00AE6DCB"/>
    <w:rsid w:val="00AF4A04"/>
    <w:rsid w:val="00AF5EB8"/>
    <w:rsid w:val="00AF69D8"/>
    <w:rsid w:val="00B044AA"/>
    <w:rsid w:val="00B111BA"/>
    <w:rsid w:val="00B14D5D"/>
    <w:rsid w:val="00B14E85"/>
    <w:rsid w:val="00B31EFA"/>
    <w:rsid w:val="00B36847"/>
    <w:rsid w:val="00B400BB"/>
    <w:rsid w:val="00B41571"/>
    <w:rsid w:val="00B41821"/>
    <w:rsid w:val="00B45611"/>
    <w:rsid w:val="00B72873"/>
    <w:rsid w:val="00B75CF5"/>
    <w:rsid w:val="00B866AB"/>
    <w:rsid w:val="00BA08E1"/>
    <w:rsid w:val="00BA164F"/>
    <w:rsid w:val="00BB65C2"/>
    <w:rsid w:val="00BD2FCA"/>
    <w:rsid w:val="00BE65DF"/>
    <w:rsid w:val="00C14086"/>
    <w:rsid w:val="00C21010"/>
    <w:rsid w:val="00C23470"/>
    <w:rsid w:val="00C40B9A"/>
    <w:rsid w:val="00C453FD"/>
    <w:rsid w:val="00C4583F"/>
    <w:rsid w:val="00C45F34"/>
    <w:rsid w:val="00C6082C"/>
    <w:rsid w:val="00C66C14"/>
    <w:rsid w:val="00C75191"/>
    <w:rsid w:val="00C76122"/>
    <w:rsid w:val="00C96D9F"/>
    <w:rsid w:val="00CA2833"/>
    <w:rsid w:val="00CA747F"/>
    <w:rsid w:val="00CB3BF0"/>
    <w:rsid w:val="00CB4017"/>
    <w:rsid w:val="00CC726E"/>
    <w:rsid w:val="00CD409A"/>
    <w:rsid w:val="00CF0557"/>
    <w:rsid w:val="00CF0CD1"/>
    <w:rsid w:val="00D02F80"/>
    <w:rsid w:val="00D04BCB"/>
    <w:rsid w:val="00D25DE5"/>
    <w:rsid w:val="00D35B21"/>
    <w:rsid w:val="00D47F70"/>
    <w:rsid w:val="00D6230A"/>
    <w:rsid w:val="00D66B52"/>
    <w:rsid w:val="00D83032"/>
    <w:rsid w:val="00DB160C"/>
    <w:rsid w:val="00DB1F1A"/>
    <w:rsid w:val="00DB70CE"/>
    <w:rsid w:val="00DC20F9"/>
    <w:rsid w:val="00DD1C29"/>
    <w:rsid w:val="00DD425F"/>
    <w:rsid w:val="00DD697B"/>
    <w:rsid w:val="00DE3940"/>
    <w:rsid w:val="00E00711"/>
    <w:rsid w:val="00E019FD"/>
    <w:rsid w:val="00E06D5B"/>
    <w:rsid w:val="00E108A8"/>
    <w:rsid w:val="00E11747"/>
    <w:rsid w:val="00E128C2"/>
    <w:rsid w:val="00E138E6"/>
    <w:rsid w:val="00E17407"/>
    <w:rsid w:val="00E177A2"/>
    <w:rsid w:val="00E203DD"/>
    <w:rsid w:val="00E31E11"/>
    <w:rsid w:val="00E33461"/>
    <w:rsid w:val="00E40DDC"/>
    <w:rsid w:val="00E4234A"/>
    <w:rsid w:val="00E50E0F"/>
    <w:rsid w:val="00E536F4"/>
    <w:rsid w:val="00E6057A"/>
    <w:rsid w:val="00E6603F"/>
    <w:rsid w:val="00E66149"/>
    <w:rsid w:val="00E67A8A"/>
    <w:rsid w:val="00E70185"/>
    <w:rsid w:val="00E726FC"/>
    <w:rsid w:val="00E74699"/>
    <w:rsid w:val="00E81DA4"/>
    <w:rsid w:val="00E83B98"/>
    <w:rsid w:val="00E954BB"/>
    <w:rsid w:val="00EA4341"/>
    <w:rsid w:val="00EB3BD2"/>
    <w:rsid w:val="00EB4EB4"/>
    <w:rsid w:val="00EB5094"/>
    <w:rsid w:val="00EC6CD6"/>
    <w:rsid w:val="00ED2DB5"/>
    <w:rsid w:val="00ED4747"/>
    <w:rsid w:val="00ED7C99"/>
    <w:rsid w:val="00EF1C76"/>
    <w:rsid w:val="00EF51FF"/>
    <w:rsid w:val="00F07C78"/>
    <w:rsid w:val="00F1266E"/>
    <w:rsid w:val="00F15ECE"/>
    <w:rsid w:val="00F1611B"/>
    <w:rsid w:val="00F213CE"/>
    <w:rsid w:val="00F23459"/>
    <w:rsid w:val="00F254ED"/>
    <w:rsid w:val="00F25DF3"/>
    <w:rsid w:val="00F3254D"/>
    <w:rsid w:val="00F33132"/>
    <w:rsid w:val="00F516BC"/>
    <w:rsid w:val="00F521A7"/>
    <w:rsid w:val="00F541AA"/>
    <w:rsid w:val="00F60AEC"/>
    <w:rsid w:val="00F70269"/>
    <w:rsid w:val="00F74B94"/>
    <w:rsid w:val="00F85C90"/>
    <w:rsid w:val="00F86FB1"/>
    <w:rsid w:val="00F96973"/>
    <w:rsid w:val="00FA2A7A"/>
    <w:rsid w:val="00FA4C13"/>
    <w:rsid w:val="00FC5244"/>
    <w:rsid w:val="00FD54A6"/>
    <w:rsid w:val="00FF0BFC"/>
    <w:rsid w:val="00FF3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62B796"/>
  <w15:docId w15:val="{61F4A931-D49A-4DA1-9B0D-BC1439005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6" w:unhideWhenUsed="1"/>
    <w:lsdException w:name="List Bullet 3" w:semiHidden="1" w:uiPriority="6" w:unhideWhenUsed="1"/>
    <w:lsdException w:name="List Bullet 4" w:semiHidden="1" w:uiPriority="6" w:unhideWhenUsed="1"/>
    <w:lsdException w:name="List Bullet 5" w:semiHidden="1" w:uiPriority="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6"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DDC"/>
    <w:pPr>
      <w:suppressAutoHyphens/>
      <w:spacing w:after="120"/>
    </w:pPr>
    <w:rPr>
      <w:rFonts w:ascii="Segoe UI" w:hAnsi="Segoe UI" w:cs="Segoe UI"/>
    </w:rPr>
  </w:style>
  <w:style w:type="paragraph" w:styleId="Heading1">
    <w:name w:val="heading 1"/>
    <w:aliases w:val="Summary  of Leg"/>
    <w:basedOn w:val="DateYear"/>
    <w:next w:val="Normal"/>
    <w:link w:val="Heading1Char"/>
    <w:qFormat/>
    <w:rsid w:val="00C75191"/>
    <w:pPr>
      <w:spacing w:after="0"/>
      <w:textboxTightWrap w:val="allLines"/>
      <w:outlineLvl w:val="0"/>
    </w:pPr>
    <w:rPr>
      <w:color w:val="335F67" w:themeColor="accent6"/>
      <w:sz w:val="56"/>
      <w:szCs w:val="56"/>
    </w:rPr>
  </w:style>
  <w:style w:type="paragraph" w:styleId="Heading2">
    <w:name w:val="heading 2"/>
    <w:aliases w:val="Title 1"/>
    <w:next w:val="Normal"/>
    <w:link w:val="Heading2Char"/>
    <w:uiPriority w:val="1"/>
    <w:unhideWhenUsed/>
    <w:qFormat/>
    <w:rsid w:val="00244674"/>
    <w:pPr>
      <w:pBdr>
        <w:bottom w:val="single" w:sz="12" w:space="1" w:color="F6C597" w:themeColor="accent2" w:themeTint="99"/>
      </w:pBdr>
      <w:spacing w:before="120"/>
      <w:outlineLvl w:val="1"/>
    </w:pPr>
    <w:rPr>
      <w:rFonts w:ascii="Segoe UI Bold" w:hAnsi="Segoe UI Bold" w:cs="Segoe UI"/>
      <w:b/>
      <w:color w:val="944F0D" w:themeColor="accent2" w:themeShade="80"/>
      <w:sz w:val="36"/>
      <w:szCs w:val="56"/>
    </w:rPr>
  </w:style>
  <w:style w:type="paragraph" w:styleId="Heading3">
    <w:name w:val="heading 3"/>
    <w:aliases w:val="Subhead"/>
    <w:next w:val="Normal"/>
    <w:link w:val="Heading3Char"/>
    <w:uiPriority w:val="2"/>
    <w:unhideWhenUsed/>
    <w:qFormat/>
    <w:rsid w:val="00500F8F"/>
    <w:pPr>
      <w:spacing w:before="240" w:after="120"/>
      <w:outlineLvl w:val="2"/>
    </w:pPr>
    <w:rPr>
      <w:rFonts w:ascii="Segoe UI Bold" w:hAnsi="Segoe UI Bold" w:cs="Segoe UI"/>
      <w:b/>
      <w:color w:val="335F67" w:themeColor="accent6"/>
      <w:sz w:val="28"/>
      <w:szCs w:val="26"/>
    </w:rPr>
  </w:style>
  <w:style w:type="paragraph" w:styleId="Heading4">
    <w:name w:val="heading 4"/>
    <w:aliases w:val="Intermediate Subhead"/>
    <w:next w:val="Normal"/>
    <w:link w:val="Heading4Char"/>
    <w:uiPriority w:val="2"/>
    <w:unhideWhenUsed/>
    <w:qFormat/>
    <w:rsid w:val="000F41EE"/>
    <w:pPr>
      <w:spacing w:before="240" w:after="120"/>
      <w:outlineLvl w:val="3"/>
    </w:pPr>
    <w:rPr>
      <w:rFonts w:ascii="Segoe UI Bold" w:hAnsi="Segoe UI Bold" w:cs="Segoe UI"/>
      <w:b/>
      <w:color w:val="335F67" w:themeColor="accent6"/>
      <w:sz w:val="26"/>
      <w:szCs w:val="24"/>
    </w:rPr>
  </w:style>
  <w:style w:type="paragraph" w:styleId="Heading5">
    <w:name w:val="heading 5"/>
    <w:aliases w:val="Paragraph Head"/>
    <w:basedOn w:val="Heading4"/>
    <w:next w:val="Normal"/>
    <w:link w:val="Heading5Char"/>
    <w:uiPriority w:val="3"/>
    <w:unhideWhenUsed/>
    <w:qFormat/>
    <w:rsid w:val="00500F8F"/>
    <w:pPr>
      <w:outlineLvl w:val="4"/>
    </w:pPr>
    <w:rPr>
      <w:color w:val="auto"/>
      <w:sz w:val="22"/>
      <w:szCs w:val="22"/>
    </w:rPr>
  </w:style>
  <w:style w:type="paragraph" w:styleId="Heading6">
    <w:name w:val="heading 6"/>
    <w:aliases w:val="Table Title"/>
    <w:basedOn w:val="Heading5"/>
    <w:next w:val="Normal"/>
    <w:link w:val="Heading6Char"/>
    <w:uiPriority w:val="4"/>
    <w:unhideWhenUsed/>
    <w:qFormat/>
    <w:rsid w:val="00AC1FEC"/>
    <w:pPr>
      <w:jc w:val="center"/>
      <w:outlineLvl w:val="5"/>
    </w:pPr>
  </w:style>
  <w:style w:type="paragraph" w:styleId="Heading8">
    <w:name w:val="heading 8"/>
    <w:basedOn w:val="Normal"/>
    <w:next w:val="Normal"/>
    <w:link w:val="Heading8Char"/>
    <w:uiPriority w:val="9"/>
    <w:semiHidden/>
    <w:unhideWhenUsed/>
    <w:qFormat/>
    <w:rsid w:val="002126E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4017"/>
    <w:pPr>
      <w:tabs>
        <w:tab w:val="center" w:pos="4680"/>
        <w:tab w:val="right" w:pos="9360"/>
      </w:tabs>
    </w:pPr>
  </w:style>
  <w:style w:type="character" w:customStyle="1" w:styleId="HeaderChar">
    <w:name w:val="Header Char"/>
    <w:basedOn w:val="DefaultParagraphFont"/>
    <w:link w:val="Header"/>
    <w:uiPriority w:val="99"/>
    <w:rsid w:val="00CB4017"/>
  </w:style>
  <w:style w:type="paragraph" w:styleId="Footer">
    <w:name w:val="footer"/>
    <w:basedOn w:val="Normal"/>
    <w:link w:val="FooterChar"/>
    <w:uiPriority w:val="99"/>
    <w:unhideWhenUsed/>
    <w:rsid w:val="00CB4017"/>
    <w:pPr>
      <w:tabs>
        <w:tab w:val="center" w:pos="4680"/>
        <w:tab w:val="right" w:pos="9360"/>
      </w:tabs>
    </w:pPr>
  </w:style>
  <w:style w:type="character" w:customStyle="1" w:styleId="FooterChar">
    <w:name w:val="Footer Char"/>
    <w:basedOn w:val="DefaultParagraphFont"/>
    <w:link w:val="Footer"/>
    <w:uiPriority w:val="99"/>
    <w:rsid w:val="00CB4017"/>
  </w:style>
  <w:style w:type="paragraph" w:styleId="BalloonText">
    <w:name w:val="Balloon Text"/>
    <w:basedOn w:val="Normal"/>
    <w:link w:val="BalloonTextChar"/>
    <w:uiPriority w:val="99"/>
    <w:semiHidden/>
    <w:unhideWhenUsed/>
    <w:rsid w:val="00CB4017"/>
    <w:rPr>
      <w:rFonts w:ascii="Tahoma" w:hAnsi="Tahoma" w:cs="Tahoma"/>
      <w:sz w:val="16"/>
      <w:szCs w:val="16"/>
    </w:rPr>
  </w:style>
  <w:style w:type="character" w:customStyle="1" w:styleId="BalloonTextChar">
    <w:name w:val="Balloon Text Char"/>
    <w:basedOn w:val="DefaultParagraphFont"/>
    <w:link w:val="BalloonText"/>
    <w:uiPriority w:val="99"/>
    <w:semiHidden/>
    <w:rsid w:val="00CB4017"/>
    <w:rPr>
      <w:rFonts w:ascii="Tahoma" w:hAnsi="Tahoma" w:cs="Tahoma"/>
      <w:sz w:val="16"/>
      <w:szCs w:val="16"/>
    </w:rPr>
  </w:style>
  <w:style w:type="table" w:styleId="TableGrid">
    <w:name w:val="Table Grid"/>
    <w:basedOn w:val="TableNormal"/>
    <w:uiPriority w:val="59"/>
    <w:rsid w:val="00492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492974"/>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NoParagraphStyle">
    <w:name w:val="[No Paragraph Style]"/>
    <w:rsid w:val="00F254ED"/>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Hyperlink">
    <w:name w:val="Hyperlink"/>
    <w:uiPriority w:val="6"/>
    <w:qFormat/>
    <w:rsid w:val="001F3AF8"/>
    <w:rPr>
      <w:rFonts w:ascii="Segoe UI" w:hAnsi="Segoe UI" w:cs="Segoe UI"/>
      <w:bCs/>
      <w:i w:val="0"/>
      <w:color w:val="335F67" w:themeColor="accent6"/>
      <w:szCs w:val="48"/>
      <w:u w:val="single"/>
    </w:rPr>
  </w:style>
  <w:style w:type="character" w:customStyle="1" w:styleId="Heading1Char">
    <w:name w:val="Heading 1 Char"/>
    <w:aliases w:val="Summary  of Leg Char"/>
    <w:basedOn w:val="DefaultParagraphFont"/>
    <w:link w:val="Heading1"/>
    <w:rsid w:val="00C75191"/>
    <w:rPr>
      <w:rFonts w:ascii="Segoe UI" w:hAnsi="Segoe UI" w:cs="Segoe UI"/>
      <w:b/>
      <w:color w:val="335F67" w:themeColor="accent6"/>
      <w:sz w:val="56"/>
      <w:szCs w:val="56"/>
    </w:rPr>
  </w:style>
  <w:style w:type="character" w:customStyle="1" w:styleId="Heading2Char">
    <w:name w:val="Heading 2 Char"/>
    <w:aliases w:val="Title 1 Char"/>
    <w:basedOn w:val="DefaultParagraphFont"/>
    <w:link w:val="Heading2"/>
    <w:uiPriority w:val="1"/>
    <w:rsid w:val="00244674"/>
    <w:rPr>
      <w:rFonts w:ascii="Segoe UI Bold" w:hAnsi="Segoe UI Bold" w:cs="Segoe UI"/>
      <w:b/>
      <w:color w:val="944F0D" w:themeColor="accent2" w:themeShade="80"/>
      <w:sz w:val="36"/>
      <w:szCs w:val="56"/>
    </w:rPr>
  </w:style>
  <w:style w:type="character" w:customStyle="1" w:styleId="Heading3Char">
    <w:name w:val="Heading 3 Char"/>
    <w:aliases w:val="Subhead Char"/>
    <w:basedOn w:val="DefaultParagraphFont"/>
    <w:link w:val="Heading3"/>
    <w:uiPriority w:val="2"/>
    <w:rsid w:val="00500F8F"/>
    <w:rPr>
      <w:rFonts w:ascii="Segoe UI Bold" w:hAnsi="Segoe UI Bold" w:cs="Segoe UI"/>
      <w:b/>
      <w:color w:val="335F67" w:themeColor="accent6"/>
      <w:sz w:val="28"/>
      <w:szCs w:val="26"/>
    </w:rPr>
  </w:style>
  <w:style w:type="character" w:customStyle="1" w:styleId="Heading4Char">
    <w:name w:val="Heading 4 Char"/>
    <w:aliases w:val="Intermediate Subhead Char"/>
    <w:basedOn w:val="DefaultParagraphFont"/>
    <w:link w:val="Heading4"/>
    <w:uiPriority w:val="2"/>
    <w:rsid w:val="000F41EE"/>
    <w:rPr>
      <w:rFonts w:ascii="Segoe UI Bold" w:hAnsi="Segoe UI Bold" w:cs="Segoe UI"/>
      <w:b/>
      <w:color w:val="335F67" w:themeColor="accent6"/>
      <w:sz w:val="26"/>
      <w:szCs w:val="24"/>
    </w:rPr>
  </w:style>
  <w:style w:type="paragraph" w:styleId="Title">
    <w:name w:val="Title"/>
    <w:aliases w:val="Title 2"/>
    <w:next w:val="Normal"/>
    <w:link w:val="TitleChar"/>
    <w:uiPriority w:val="10"/>
    <w:rsid w:val="00645020"/>
    <w:pPr>
      <w:spacing w:before="960" w:after="480"/>
      <w:contextualSpacing/>
    </w:pPr>
    <w:rPr>
      <w:rFonts w:ascii="Segoe UI" w:eastAsiaTheme="majorEastAsia" w:hAnsi="Segoe UI" w:cs="Segoe UI"/>
      <w:b/>
      <w:color w:val="85ACAC" w:themeColor="background2"/>
      <w:spacing w:val="-10"/>
      <w:kern w:val="28"/>
      <w:sz w:val="40"/>
      <w:szCs w:val="56"/>
    </w:rPr>
  </w:style>
  <w:style w:type="character" w:customStyle="1" w:styleId="TitleChar">
    <w:name w:val="Title Char"/>
    <w:aliases w:val="Title 2 Char"/>
    <w:basedOn w:val="DefaultParagraphFont"/>
    <w:link w:val="Title"/>
    <w:uiPriority w:val="10"/>
    <w:rsid w:val="00645020"/>
    <w:rPr>
      <w:rFonts w:ascii="Segoe UI" w:eastAsiaTheme="majorEastAsia" w:hAnsi="Segoe UI" w:cs="Segoe UI"/>
      <w:b/>
      <w:color w:val="85ACAC" w:themeColor="background2"/>
      <w:spacing w:val="-10"/>
      <w:kern w:val="28"/>
      <w:sz w:val="40"/>
      <w:szCs w:val="56"/>
    </w:rPr>
  </w:style>
  <w:style w:type="character" w:styleId="FollowedHyperlink">
    <w:name w:val="FollowedHyperlink"/>
    <w:basedOn w:val="DefaultParagraphFont"/>
    <w:uiPriority w:val="99"/>
    <w:semiHidden/>
    <w:unhideWhenUsed/>
    <w:rsid w:val="0069208C"/>
    <w:rPr>
      <w:color w:val="335F67" w:themeColor="followedHyperlink"/>
      <w:u w:val="single"/>
    </w:rPr>
  </w:style>
  <w:style w:type="paragraph" w:styleId="Subtitle">
    <w:name w:val="Subtitle"/>
    <w:basedOn w:val="Normal"/>
    <w:next w:val="Normal"/>
    <w:link w:val="SubtitleChar"/>
    <w:uiPriority w:val="11"/>
    <w:rsid w:val="001E1709"/>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E1709"/>
    <w:rPr>
      <w:rFonts w:eastAsiaTheme="minorEastAsia"/>
      <w:color w:val="5A5A5A" w:themeColor="text1" w:themeTint="A5"/>
      <w:spacing w:val="15"/>
    </w:rPr>
  </w:style>
  <w:style w:type="paragraph" w:customStyle="1" w:styleId="FooterFormatting">
    <w:name w:val="Footer Formatting"/>
    <w:basedOn w:val="Normal"/>
    <w:link w:val="FooterFormattingChar"/>
    <w:uiPriority w:val="99"/>
    <w:rsid w:val="00B41571"/>
    <w:pPr>
      <w:autoSpaceDE w:val="0"/>
      <w:autoSpaceDN w:val="0"/>
      <w:adjustRightInd w:val="0"/>
      <w:spacing w:before="600" w:line="288" w:lineRule="auto"/>
      <w:jc w:val="center"/>
      <w:textAlignment w:val="center"/>
    </w:pPr>
    <w:rPr>
      <w:rFonts w:cs="Arial"/>
      <w:b/>
      <w:color w:val="944F0D" w:themeColor="accent2" w:themeShade="80"/>
      <w:sz w:val="18"/>
      <w:szCs w:val="18"/>
    </w:rPr>
  </w:style>
  <w:style w:type="character" w:customStyle="1" w:styleId="FooterFormattingChar">
    <w:name w:val="Footer Formatting Char"/>
    <w:basedOn w:val="DefaultParagraphFont"/>
    <w:link w:val="FooterFormatting"/>
    <w:uiPriority w:val="99"/>
    <w:rsid w:val="00B41571"/>
    <w:rPr>
      <w:rFonts w:ascii="Segoe UI" w:hAnsi="Segoe UI" w:cs="Arial"/>
      <w:b/>
      <w:color w:val="944F0D" w:themeColor="accent2" w:themeShade="80"/>
      <w:sz w:val="18"/>
      <w:szCs w:val="18"/>
    </w:rPr>
  </w:style>
  <w:style w:type="paragraph" w:customStyle="1" w:styleId="LCSTAG">
    <w:name w:val="LCS TAG"/>
    <w:link w:val="LCSTAGChar"/>
    <w:uiPriority w:val="6"/>
    <w:rsid w:val="006A170E"/>
    <w:pPr>
      <w:spacing w:after="0" w:line="240" w:lineRule="auto"/>
    </w:pPr>
    <w:rPr>
      <w:rFonts w:ascii="Segoe UI" w:hAnsi="Segoe UI" w:cs="Segoe UI"/>
      <w:i/>
      <w:color w:val="AD8C2D"/>
      <w:sz w:val="16"/>
    </w:rPr>
  </w:style>
  <w:style w:type="paragraph" w:customStyle="1" w:styleId="LCSTag1">
    <w:name w:val="LCS Tag 1"/>
    <w:link w:val="LCSTag1Char"/>
    <w:uiPriority w:val="6"/>
    <w:rsid w:val="00DE3940"/>
    <w:pPr>
      <w:spacing w:after="0" w:line="240" w:lineRule="auto"/>
    </w:pPr>
    <w:rPr>
      <w:rFonts w:ascii="Segoe UI" w:hAnsi="Segoe UI" w:cs="Segoe UI"/>
      <w:b/>
      <w:color w:val="335F67"/>
      <w:sz w:val="28"/>
      <w:szCs w:val="32"/>
    </w:rPr>
  </w:style>
  <w:style w:type="character" w:customStyle="1" w:styleId="LCSTAGChar">
    <w:name w:val="LCS TAG Char"/>
    <w:basedOn w:val="DefaultParagraphFont"/>
    <w:link w:val="LCSTAG"/>
    <w:uiPriority w:val="6"/>
    <w:rsid w:val="000C7956"/>
    <w:rPr>
      <w:rFonts w:ascii="Segoe UI" w:hAnsi="Segoe UI" w:cs="Segoe UI"/>
      <w:i/>
      <w:color w:val="AD8C2D"/>
      <w:sz w:val="16"/>
    </w:rPr>
  </w:style>
  <w:style w:type="paragraph" w:customStyle="1" w:styleId="PullQuoteStyle">
    <w:name w:val="Pull Quote Style"/>
    <w:basedOn w:val="LCSTag1"/>
    <w:link w:val="PullQuoteStyleChar"/>
    <w:uiPriority w:val="7"/>
    <w:rsid w:val="006B7009"/>
    <w:rPr>
      <w:i/>
      <w:color w:val="5C8787" w:themeColor="background2" w:themeShade="BF"/>
      <w:szCs w:val="28"/>
    </w:rPr>
  </w:style>
  <w:style w:type="character" w:customStyle="1" w:styleId="LCSTag1Char">
    <w:name w:val="LCS Tag 1 Char"/>
    <w:basedOn w:val="DefaultParagraphFont"/>
    <w:link w:val="LCSTag1"/>
    <w:uiPriority w:val="6"/>
    <w:rsid w:val="000C7956"/>
    <w:rPr>
      <w:rFonts w:ascii="Segoe UI" w:hAnsi="Segoe UI" w:cs="Segoe UI"/>
      <w:b/>
      <w:color w:val="335F67"/>
      <w:sz w:val="28"/>
      <w:szCs w:val="32"/>
    </w:rPr>
  </w:style>
  <w:style w:type="character" w:customStyle="1" w:styleId="PullQuoteStyleChar">
    <w:name w:val="Pull Quote Style Char"/>
    <w:basedOn w:val="LCSTag1Char"/>
    <w:link w:val="PullQuoteStyle"/>
    <w:uiPriority w:val="7"/>
    <w:rsid w:val="003D15AC"/>
    <w:rPr>
      <w:rFonts w:ascii="Segoe UI" w:hAnsi="Segoe UI" w:cs="Segoe UI"/>
      <w:b/>
      <w:i/>
      <w:color w:val="5C8787" w:themeColor="background2" w:themeShade="BF"/>
      <w:sz w:val="28"/>
      <w:szCs w:val="28"/>
    </w:rPr>
  </w:style>
  <w:style w:type="paragraph" w:customStyle="1" w:styleId="HeaderItalics">
    <w:name w:val="Header Italics"/>
    <w:basedOn w:val="Normal"/>
    <w:link w:val="HeaderItalicsChar"/>
    <w:uiPriority w:val="7"/>
    <w:rsid w:val="001B26C4"/>
    <w:pPr>
      <w:suppressAutoHyphens w:val="0"/>
      <w:spacing w:after="160" w:line="259" w:lineRule="auto"/>
    </w:pPr>
    <w:rPr>
      <w:rFonts w:asciiTheme="minorHAnsi" w:hAnsiTheme="minorHAnsi" w:cs="Arial"/>
      <w:i/>
      <w:color w:val="808080" w:themeColor="background1" w:themeShade="80"/>
      <w:sz w:val="20"/>
      <w:szCs w:val="23"/>
    </w:rPr>
  </w:style>
  <w:style w:type="character" w:customStyle="1" w:styleId="HeaderItalicsChar">
    <w:name w:val="Header Italics Char"/>
    <w:basedOn w:val="DefaultParagraphFont"/>
    <w:link w:val="HeaderItalics"/>
    <w:uiPriority w:val="7"/>
    <w:rsid w:val="000C7956"/>
    <w:rPr>
      <w:rFonts w:cs="Arial"/>
      <w:i/>
      <w:color w:val="808080" w:themeColor="background1" w:themeShade="80"/>
      <w:sz w:val="20"/>
      <w:szCs w:val="23"/>
    </w:rPr>
  </w:style>
  <w:style w:type="paragraph" w:customStyle="1" w:styleId="Page">
    <w:name w:val="Page #"/>
    <w:basedOn w:val="Normal"/>
    <w:link w:val="PageChar"/>
    <w:uiPriority w:val="4"/>
    <w:rsid w:val="00904470"/>
    <w:pPr>
      <w:tabs>
        <w:tab w:val="left" w:pos="6255"/>
      </w:tabs>
      <w:spacing w:before="600"/>
      <w:jc w:val="right"/>
    </w:pPr>
    <w:rPr>
      <w:b/>
      <w:color w:val="944F0D" w:themeColor="accent2" w:themeShade="80"/>
    </w:rPr>
  </w:style>
  <w:style w:type="character" w:customStyle="1" w:styleId="PageChar">
    <w:name w:val="Page # Char"/>
    <w:basedOn w:val="LCSTAGChar"/>
    <w:link w:val="Page"/>
    <w:uiPriority w:val="4"/>
    <w:rsid w:val="00904470"/>
    <w:rPr>
      <w:rFonts w:ascii="Segoe UI" w:hAnsi="Segoe UI" w:cs="Segoe UI"/>
      <w:b/>
      <w:i w:val="0"/>
      <w:color w:val="944F0D" w:themeColor="accent2" w:themeShade="80"/>
      <w:sz w:val="16"/>
    </w:rPr>
  </w:style>
  <w:style w:type="paragraph" w:styleId="FootnoteText">
    <w:name w:val="footnote text"/>
    <w:basedOn w:val="Normal"/>
    <w:link w:val="FootnoteTextChar"/>
    <w:uiPriority w:val="99"/>
    <w:semiHidden/>
    <w:unhideWhenUsed/>
    <w:rsid w:val="008271D9"/>
    <w:rPr>
      <w:sz w:val="20"/>
      <w:szCs w:val="20"/>
    </w:rPr>
  </w:style>
  <w:style w:type="character" w:customStyle="1" w:styleId="FootnoteTextChar">
    <w:name w:val="Footnote Text Char"/>
    <w:basedOn w:val="DefaultParagraphFont"/>
    <w:link w:val="FootnoteText"/>
    <w:uiPriority w:val="99"/>
    <w:semiHidden/>
    <w:rsid w:val="008271D9"/>
    <w:rPr>
      <w:rFonts w:ascii="Segoe UI" w:hAnsi="Segoe UI" w:cs="Segoe UI"/>
      <w:sz w:val="20"/>
      <w:szCs w:val="20"/>
    </w:rPr>
  </w:style>
  <w:style w:type="character" w:styleId="FootnoteReference">
    <w:name w:val="footnote reference"/>
    <w:basedOn w:val="DefaultParagraphFont"/>
    <w:uiPriority w:val="99"/>
    <w:semiHidden/>
    <w:unhideWhenUsed/>
    <w:rsid w:val="008271D9"/>
    <w:rPr>
      <w:vertAlign w:val="superscript"/>
    </w:rPr>
  </w:style>
  <w:style w:type="paragraph" w:customStyle="1" w:styleId="Footnote">
    <w:name w:val="Footnote"/>
    <w:basedOn w:val="Normal"/>
    <w:link w:val="FootnoteChar"/>
    <w:uiPriority w:val="7"/>
    <w:qFormat/>
    <w:rsid w:val="00401F7D"/>
    <w:rPr>
      <w:sz w:val="16"/>
    </w:rPr>
  </w:style>
  <w:style w:type="character" w:customStyle="1" w:styleId="FootnoteChar">
    <w:name w:val="Footnote Char"/>
    <w:basedOn w:val="DefaultParagraphFont"/>
    <w:link w:val="Footnote"/>
    <w:uiPriority w:val="7"/>
    <w:rsid w:val="003D15AC"/>
    <w:rPr>
      <w:rFonts w:ascii="Segoe UI" w:hAnsi="Segoe UI" w:cs="Segoe UI"/>
      <w:sz w:val="16"/>
    </w:rPr>
  </w:style>
  <w:style w:type="paragraph" w:customStyle="1" w:styleId="LongBullets">
    <w:name w:val="Long Bullets"/>
    <w:basedOn w:val="ListParagraph"/>
    <w:link w:val="LongBulletsChar"/>
    <w:uiPriority w:val="3"/>
    <w:rsid w:val="005D7177"/>
    <w:pPr>
      <w:contextualSpacing w:val="0"/>
    </w:pPr>
  </w:style>
  <w:style w:type="character" w:customStyle="1" w:styleId="ListParagraphChar">
    <w:name w:val="List Paragraph Char"/>
    <w:aliases w:val="Short Bullets Char"/>
    <w:basedOn w:val="DefaultParagraphFont"/>
    <w:link w:val="ListParagraph"/>
    <w:uiPriority w:val="3"/>
    <w:rsid w:val="003D15AC"/>
    <w:rPr>
      <w:rFonts w:ascii="Segoe UI" w:hAnsi="Segoe UI" w:cs="Garamond"/>
      <w:szCs w:val="32"/>
    </w:rPr>
  </w:style>
  <w:style w:type="paragraph" w:styleId="ListParagraph">
    <w:name w:val="List Paragraph"/>
    <w:aliases w:val="Short Bullets"/>
    <w:basedOn w:val="Normal"/>
    <w:link w:val="ListParagraphChar"/>
    <w:uiPriority w:val="3"/>
    <w:rsid w:val="005D7177"/>
    <w:pPr>
      <w:numPr>
        <w:numId w:val="11"/>
      </w:numPr>
      <w:contextualSpacing/>
    </w:pPr>
    <w:rPr>
      <w:rFonts w:cs="Garamond"/>
      <w:szCs w:val="32"/>
    </w:rPr>
  </w:style>
  <w:style w:type="character" w:customStyle="1" w:styleId="LongBulletsChar">
    <w:name w:val="Long Bullets Char"/>
    <w:basedOn w:val="ListParagraphChar"/>
    <w:link w:val="LongBullets"/>
    <w:uiPriority w:val="3"/>
    <w:rsid w:val="003D15AC"/>
    <w:rPr>
      <w:rFonts w:ascii="Segoe UI" w:hAnsi="Segoe UI" w:cs="Garamond"/>
      <w:szCs w:val="32"/>
    </w:rPr>
  </w:style>
  <w:style w:type="paragraph" w:customStyle="1" w:styleId="TableHeading">
    <w:name w:val="Table Heading"/>
    <w:basedOn w:val="Normal"/>
    <w:link w:val="TableHeadingChar"/>
    <w:uiPriority w:val="4"/>
    <w:rsid w:val="00A155B1"/>
    <w:pPr>
      <w:suppressAutoHyphens w:val="0"/>
    </w:pPr>
    <w:rPr>
      <w:b/>
      <w:color w:val="335F67" w:themeColor="accent6"/>
      <w:sz w:val="20"/>
      <w:szCs w:val="20"/>
    </w:rPr>
  </w:style>
  <w:style w:type="paragraph" w:customStyle="1" w:styleId="TableText">
    <w:name w:val="Table Text"/>
    <w:basedOn w:val="Normal"/>
    <w:link w:val="TableTextChar"/>
    <w:uiPriority w:val="4"/>
    <w:rsid w:val="00B31EFA"/>
    <w:pPr>
      <w:suppressAutoHyphens w:val="0"/>
    </w:pPr>
    <w:rPr>
      <w:sz w:val="20"/>
      <w:szCs w:val="20"/>
    </w:rPr>
  </w:style>
  <w:style w:type="character" w:customStyle="1" w:styleId="TableHeadingChar">
    <w:name w:val="Table Heading Char"/>
    <w:basedOn w:val="DefaultParagraphFont"/>
    <w:link w:val="TableHeading"/>
    <w:uiPriority w:val="4"/>
    <w:rsid w:val="00A155B1"/>
    <w:rPr>
      <w:rFonts w:ascii="Segoe UI" w:hAnsi="Segoe UI" w:cs="Segoe UI"/>
      <w:b/>
      <w:color w:val="335F67" w:themeColor="accent6"/>
      <w:sz w:val="20"/>
      <w:szCs w:val="20"/>
    </w:rPr>
  </w:style>
  <w:style w:type="character" w:customStyle="1" w:styleId="TableTextChar">
    <w:name w:val="Table Text Char"/>
    <w:basedOn w:val="DefaultParagraphFont"/>
    <w:link w:val="TableText"/>
    <w:uiPriority w:val="4"/>
    <w:rsid w:val="003D15AC"/>
    <w:rPr>
      <w:rFonts w:ascii="Segoe UI" w:hAnsi="Segoe UI" w:cs="Segoe UI"/>
      <w:sz w:val="20"/>
      <w:szCs w:val="20"/>
    </w:rPr>
  </w:style>
  <w:style w:type="paragraph" w:customStyle="1" w:styleId="Source">
    <w:name w:val="Source"/>
    <w:basedOn w:val="Normal"/>
    <w:link w:val="SourceChar"/>
    <w:uiPriority w:val="4"/>
    <w:qFormat/>
    <w:rsid w:val="00AE48C7"/>
    <w:pPr>
      <w:suppressAutoHyphens w:val="0"/>
      <w:spacing w:after="200"/>
    </w:pPr>
    <w:rPr>
      <w:sz w:val="18"/>
      <w:szCs w:val="18"/>
    </w:rPr>
  </w:style>
  <w:style w:type="character" w:customStyle="1" w:styleId="SourceChar">
    <w:name w:val="Source Char"/>
    <w:basedOn w:val="DefaultParagraphFont"/>
    <w:link w:val="Source"/>
    <w:uiPriority w:val="4"/>
    <w:rsid w:val="00687A68"/>
    <w:rPr>
      <w:rFonts w:ascii="Segoe UI" w:hAnsi="Segoe UI" w:cs="Segoe UI"/>
      <w:sz w:val="18"/>
      <w:szCs w:val="18"/>
    </w:rPr>
  </w:style>
  <w:style w:type="paragraph" w:customStyle="1" w:styleId="SummaryofLegislation">
    <w:name w:val="Summary of Legislation"/>
    <w:link w:val="SummaryofLegislationChar"/>
    <w:uiPriority w:val="5"/>
    <w:rsid w:val="006B7009"/>
    <w:rPr>
      <w:rFonts w:ascii="Segoe UI" w:hAnsi="Segoe UI" w:cs="Segoe UI"/>
      <w:b/>
      <w:i/>
      <w:noProof/>
      <w:color w:val="5C8787" w:themeColor="background2" w:themeShade="BF"/>
      <w:sz w:val="52"/>
      <w:szCs w:val="48"/>
    </w:rPr>
  </w:style>
  <w:style w:type="paragraph" w:customStyle="1" w:styleId="DateYear">
    <w:name w:val="Date Year"/>
    <w:basedOn w:val="Normal"/>
    <w:link w:val="DateYearChar"/>
    <w:uiPriority w:val="7"/>
    <w:rsid w:val="00596F29"/>
    <w:pPr>
      <w:spacing w:after="480" w:line="240" w:lineRule="auto"/>
    </w:pPr>
    <w:rPr>
      <w:b/>
      <w:color w:val="5C8787" w:themeColor="background2" w:themeShade="BF"/>
      <w:sz w:val="36"/>
      <w:szCs w:val="32"/>
    </w:rPr>
  </w:style>
  <w:style w:type="character" w:customStyle="1" w:styleId="SummaryofLegislationChar">
    <w:name w:val="Summary of Legislation Char"/>
    <w:basedOn w:val="PullQuoteStyleChar"/>
    <w:link w:val="SummaryofLegislation"/>
    <w:uiPriority w:val="5"/>
    <w:rsid w:val="003D15AC"/>
    <w:rPr>
      <w:rFonts w:ascii="Segoe UI" w:hAnsi="Segoe UI" w:cs="Segoe UI"/>
      <w:b/>
      <w:i/>
      <w:noProof/>
      <w:color w:val="5C8787" w:themeColor="background2" w:themeShade="BF"/>
      <w:sz w:val="52"/>
      <w:szCs w:val="48"/>
    </w:rPr>
  </w:style>
  <w:style w:type="character" w:customStyle="1" w:styleId="Heading8Char">
    <w:name w:val="Heading 8 Char"/>
    <w:basedOn w:val="DefaultParagraphFont"/>
    <w:link w:val="Heading8"/>
    <w:uiPriority w:val="9"/>
    <w:semiHidden/>
    <w:rsid w:val="002126E1"/>
    <w:rPr>
      <w:rFonts w:asciiTheme="majorHAnsi" w:eastAsiaTheme="majorEastAsia" w:hAnsiTheme="majorHAnsi" w:cstheme="majorBidi"/>
      <w:color w:val="272727" w:themeColor="text1" w:themeTint="D8"/>
      <w:sz w:val="21"/>
      <w:szCs w:val="21"/>
    </w:rPr>
  </w:style>
  <w:style w:type="character" w:customStyle="1" w:styleId="DateYearChar">
    <w:name w:val="Date Year Char"/>
    <w:basedOn w:val="DefaultParagraphFont"/>
    <w:link w:val="DateYear"/>
    <w:uiPriority w:val="7"/>
    <w:rsid w:val="00596F29"/>
    <w:rPr>
      <w:rFonts w:ascii="Segoe UI" w:hAnsi="Segoe UI" w:cs="Segoe UI"/>
      <w:b/>
      <w:color w:val="5C8787" w:themeColor="background2" w:themeShade="BF"/>
      <w:sz w:val="36"/>
      <w:szCs w:val="32"/>
    </w:rPr>
  </w:style>
  <w:style w:type="table" w:styleId="GridTable4-Accent6">
    <w:name w:val="Grid Table 4 Accent 6"/>
    <w:aliases w:val="TABLE A"/>
    <w:basedOn w:val="TableNormal"/>
    <w:uiPriority w:val="49"/>
    <w:rsid w:val="002126E1"/>
    <w:pPr>
      <w:spacing w:before="100" w:beforeAutospacing="1" w:after="100" w:afterAutospacing="1" w:line="240" w:lineRule="auto"/>
      <w:jc w:val="right"/>
    </w:pPr>
    <w:rPr>
      <w:rFonts w:ascii="Segoe UI" w:hAnsi="Segoe UI"/>
      <w:sz w:val="20"/>
    </w:rPr>
    <w:tblPr>
      <w:tblStyleRowBandSize w:val="1"/>
      <w:tblStyleColBandSize w:val="1"/>
      <w:tblBorders>
        <w:top w:val="single" w:sz="4" w:space="0" w:color="335F67" w:themeColor="accent6"/>
        <w:left w:val="single" w:sz="4" w:space="0" w:color="335F67" w:themeColor="accent6"/>
        <w:bottom w:val="single" w:sz="4" w:space="0" w:color="335F67" w:themeColor="accent6"/>
        <w:right w:val="single" w:sz="4" w:space="0" w:color="335F67" w:themeColor="accent6"/>
        <w:insideH w:val="single" w:sz="4" w:space="0" w:color="335F67" w:themeColor="accent6"/>
        <w:insideV w:val="single" w:sz="4" w:space="0" w:color="335F67" w:themeColor="accent6"/>
      </w:tblBorders>
    </w:tblPr>
    <w:tcPr>
      <w:shd w:val="clear" w:color="auto" w:fill="E1F2F2"/>
      <w:vAlign w:val="center"/>
    </w:tcPr>
    <w:tblStylePr w:type="firstRow">
      <w:pPr>
        <w:wordWrap/>
        <w:spacing w:beforeLines="0" w:before="100" w:beforeAutospacing="1" w:afterLines="0" w:after="100" w:afterAutospacing="1"/>
        <w:ind w:leftChars="0" w:left="0" w:rightChars="0" w:right="0"/>
        <w:jc w:val="center"/>
      </w:pPr>
      <w:rPr>
        <w:rFonts w:ascii="Segoe UI" w:hAnsi="Segoe UI"/>
        <w:b/>
        <w:bCs/>
        <w:color w:val="335F67" w:themeColor="accent6"/>
      </w:rPr>
      <w:tblPr/>
      <w:tcPr>
        <w:shd w:val="clear" w:color="auto" w:fill="E1F2F2"/>
      </w:tcPr>
    </w:tblStylePr>
    <w:tblStylePr w:type="lastRow">
      <w:rPr>
        <w:rFonts w:ascii="Segoe UI" w:hAnsi="Segoe UI"/>
        <w:b w:val="0"/>
        <w:bCs/>
      </w:rPr>
      <w:tblPr/>
      <w:tcPr>
        <w:shd w:val="clear" w:color="auto" w:fill="E1F2F2"/>
      </w:tcPr>
    </w:tblStylePr>
    <w:tblStylePr w:type="firstCol">
      <w:pPr>
        <w:jc w:val="left"/>
      </w:pPr>
      <w:rPr>
        <w:rFonts w:ascii="Segoe UI" w:hAnsi="Segoe UI"/>
        <w:b w:val="0"/>
        <w:bCs/>
      </w:rPr>
    </w:tblStylePr>
    <w:tblStylePr w:type="lastCol">
      <w:rPr>
        <w:rFonts w:ascii="Segoe UI" w:hAnsi="Segoe UI"/>
        <w:b w:val="0"/>
        <w:bCs/>
      </w:rPr>
    </w:tblStylePr>
    <w:tblStylePr w:type="band1Horz">
      <w:pPr>
        <w:jc w:val="right"/>
      </w:pPr>
      <w:rPr>
        <w:rFonts w:ascii="Segoe UI" w:hAnsi="Segoe UI"/>
      </w:rPr>
      <w:tblPr/>
      <w:tcPr>
        <w:shd w:val="clear" w:color="auto" w:fill="FFFFFF" w:themeFill="background1"/>
      </w:tcPr>
    </w:tblStylePr>
    <w:tblStylePr w:type="band2Horz">
      <w:pPr>
        <w:jc w:val="right"/>
      </w:pPr>
      <w:rPr>
        <w:rFonts w:ascii="Segoe UI" w:hAnsi="Segoe UI"/>
      </w:rPr>
    </w:tblStylePr>
  </w:style>
  <w:style w:type="table" w:styleId="GridTable1Light-Accent6">
    <w:name w:val="Grid Table 1 Light Accent 6"/>
    <w:aliases w:val="Table B"/>
    <w:basedOn w:val="TableNormal"/>
    <w:uiPriority w:val="99"/>
    <w:rsid w:val="002126E1"/>
    <w:pPr>
      <w:spacing w:before="100" w:beforeAutospacing="1" w:after="100" w:afterAutospacing="1" w:line="240" w:lineRule="auto"/>
      <w:jc w:val="right"/>
    </w:pPr>
    <w:rPr>
      <w:rFonts w:ascii="Segoe UI" w:hAnsi="Segoe UI"/>
      <w:sz w:val="20"/>
    </w:rPr>
    <w:tblPr>
      <w:tblStyleRowBandSize w:val="1"/>
      <w:tblStyleColBandSize w:val="1"/>
      <w:tblBorders>
        <w:bottom w:val="single" w:sz="4" w:space="0" w:color="auto"/>
        <w:insideH w:val="single" w:sz="4" w:space="0" w:color="335F67" w:themeColor="accent6"/>
      </w:tblBorders>
    </w:tblPr>
    <w:tcPr>
      <w:shd w:val="clear" w:color="auto" w:fill="FFFFFF" w:themeFill="background1"/>
      <w:vAlign w:val="center"/>
    </w:tcPr>
    <w:tblStylePr w:type="firstRow">
      <w:pPr>
        <w:wordWrap/>
        <w:jc w:val="center"/>
      </w:pPr>
      <w:rPr>
        <w:rFonts w:ascii="Segoe UI" w:hAnsi="Segoe UI"/>
        <w:b/>
        <w:bCs/>
        <w:color w:val="335F67" w:themeColor="accent6"/>
        <w:sz w:val="20"/>
      </w:rPr>
      <w:tblPr/>
      <w:tcPr>
        <w:shd w:val="clear" w:color="auto" w:fill="E1F2F2"/>
      </w:tcPr>
    </w:tblStylePr>
    <w:tblStylePr w:type="lastRow">
      <w:rPr>
        <w:rFonts w:ascii="Segoe UI" w:hAnsi="Segoe UI"/>
        <w:b w:val="0"/>
        <w:bCs/>
      </w:rPr>
      <w:tblPr/>
      <w:tcPr>
        <w:tcBorders>
          <w:top w:val="double" w:sz="2" w:space="0" w:color="70ACB8" w:themeColor="accent6" w:themeTint="99"/>
        </w:tcBorders>
      </w:tcPr>
    </w:tblStylePr>
    <w:tblStylePr w:type="firstCol">
      <w:pPr>
        <w:jc w:val="left"/>
      </w:pPr>
      <w:rPr>
        <w:rFonts w:ascii="Segoe UI" w:hAnsi="Segoe UI"/>
        <w:b w:val="0"/>
        <w:bCs/>
      </w:rPr>
    </w:tblStylePr>
    <w:tblStylePr w:type="lastCol">
      <w:rPr>
        <w:rFonts w:ascii="Segoe UI" w:hAnsi="Segoe UI"/>
        <w:b w:val="0"/>
        <w:bCs/>
        <w:sz w:val="20"/>
      </w:rPr>
    </w:tblStylePr>
    <w:tblStylePr w:type="band1Horz">
      <w:rPr>
        <w:rFonts w:ascii="Segoe UI" w:hAnsi="Segoe UI"/>
        <w:color w:val="auto"/>
      </w:rPr>
      <w:tblPr/>
      <w:tcPr>
        <w:shd w:val="clear" w:color="auto" w:fill="FFFFFF" w:themeFill="background1"/>
      </w:tcPr>
    </w:tblStylePr>
    <w:tblStylePr w:type="band2Horz">
      <w:tblPr/>
      <w:tcPr>
        <w:shd w:val="clear" w:color="auto" w:fill="FFFFFF" w:themeFill="background1"/>
      </w:tcPr>
    </w:tblStylePr>
  </w:style>
  <w:style w:type="character" w:customStyle="1" w:styleId="Heading5Char">
    <w:name w:val="Heading 5 Char"/>
    <w:aliases w:val="Paragraph Head Char"/>
    <w:basedOn w:val="DefaultParagraphFont"/>
    <w:link w:val="Heading5"/>
    <w:uiPriority w:val="3"/>
    <w:rsid w:val="00500F8F"/>
    <w:rPr>
      <w:rFonts w:ascii="Segoe UI Bold" w:hAnsi="Segoe UI Bold" w:cs="Segoe UI"/>
      <w:b/>
    </w:rPr>
  </w:style>
  <w:style w:type="character" w:customStyle="1" w:styleId="Heading6Char">
    <w:name w:val="Heading 6 Char"/>
    <w:aliases w:val="Table Title Char"/>
    <w:basedOn w:val="DefaultParagraphFont"/>
    <w:link w:val="Heading6"/>
    <w:uiPriority w:val="9"/>
    <w:rsid w:val="00AC1FEC"/>
    <w:rPr>
      <w:rFonts w:ascii="Segoe UI" w:hAnsi="Segoe UI" w:cs="Segoe UI"/>
      <w:b/>
    </w:rPr>
  </w:style>
  <w:style w:type="paragraph" w:styleId="ListBullet">
    <w:name w:val="List Bullet"/>
    <w:basedOn w:val="Normal"/>
    <w:uiPriority w:val="6"/>
    <w:qFormat/>
    <w:rsid w:val="00F3254D"/>
    <w:pPr>
      <w:numPr>
        <w:numId w:val="12"/>
      </w:numPr>
      <w:suppressAutoHyphens w:val="0"/>
      <w:spacing w:after="0"/>
      <w:contextualSpacing/>
    </w:pPr>
    <w:rPr>
      <w:rFonts w:cstheme="minorBidi"/>
      <w:kern w:val="2"/>
      <w14:ligatures w14:val="standardContextual"/>
    </w:rPr>
  </w:style>
  <w:style w:type="paragraph" w:styleId="ListBullet2">
    <w:name w:val="List Bullet 2"/>
    <w:basedOn w:val="Normal"/>
    <w:uiPriority w:val="6"/>
    <w:rsid w:val="00F3254D"/>
    <w:pPr>
      <w:numPr>
        <w:ilvl w:val="1"/>
        <w:numId w:val="12"/>
      </w:numPr>
      <w:suppressAutoHyphens w:val="0"/>
      <w:spacing w:after="0"/>
      <w:contextualSpacing/>
    </w:pPr>
    <w:rPr>
      <w:rFonts w:cstheme="minorBidi"/>
      <w:kern w:val="2"/>
      <w14:ligatures w14:val="standardContextual"/>
    </w:rPr>
  </w:style>
  <w:style w:type="paragraph" w:styleId="ListBullet3">
    <w:name w:val="List Bullet 3"/>
    <w:basedOn w:val="Normal"/>
    <w:uiPriority w:val="6"/>
    <w:rsid w:val="00F3254D"/>
    <w:pPr>
      <w:numPr>
        <w:ilvl w:val="2"/>
        <w:numId w:val="12"/>
      </w:numPr>
      <w:suppressAutoHyphens w:val="0"/>
      <w:spacing w:after="0"/>
      <w:contextualSpacing/>
    </w:pPr>
    <w:rPr>
      <w:rFonts w:cstheme="minorBidi"/>
      <w:kern w:val="2"/>
      <w14:ligatures w14:val="standardContextual"/>
    </w:rPr>
  </w:style>
  <w:style w:type="paragraph" w:styleId="ListBullet5">
    <w:name w:val="List Bullet 5"/>
    <w:basedOn w:val="Normal"/>
    <w:uiPriority w:val="6"/>
    <w:rsid w:val="00F3254D"/>
    <w:pPr>
      <w:numPr>
        <w:ilvl w:val="4"/>
        <w:numId w:val="12"/>
      </w:numPr>
      <w:suppressAutoHyphens w:val="0"/>
      <w:spacing w:after="0"/>
      <w:contextualSpacing/>
    </w:pPr>
    <w:rPr>
      <w:rFonts w:cstheme="minorBidi"/>
      <w:kern w:val="2"/>
      <w14:ligatures w14:val="standardContextual"/>
    </w:rPr>
  </w:style>
  <w:style w:type="paragraph" w:styleId="ListBullet4">
    <w:name w:val="List Bullet 4"/>
    <w:basedOn w:val="Normal"/>
    <w:uiPriority w:val="6"/>
    <w:rsid w:val="00F3254D"/>
    <w:pPr>
      <w:numPr>
        <w:ilvl w:val="3"/>
        <w:numId w:val="12"/>
      </w:numPr>
      <w:suppressAutoHyphens w:val="0"/>
      <w:spacing w:after="0"/>
      <w:contextualSpacing/>
    </w:pPr>
    <w:rPr>
      <w:rFonts w:cstheme="minorBidi"/>
      <w:kern w:val="2"/>
      <w14:ligatures w14:val="standardContextual"/>
    </w:rPr>
  </w:style>
  <w:style w:type="numbering" w:customStyle="1" w:styleId="LeftBulletList">
    <w:name w:val="Left Bullet List"/>
    <w:uiPriority w:val="99"/>
    <w:rsid w:val="00507480"/>
    <w:pPr>
      <w:numPr>
        <w:numId w:val="12"/>
      </w:numPr>
    </w:pPr>
  </w:style>
  <w:style w:type="paragraph" w:customStyle="1" w:styleId="ListBullet1Long">
    <w:name w:val="List Bullet 1 Long"/>
    <w:basedOn w:val="ListBullet"/>
    <w:uiPriority w:val="7"/>
    <w:qFormat/>
    <w:rsid w:val="00507480"/>
    <w:pPr>
      <w:numPr>
        <w:numId w:val="14"/>
      </w:numPr>
      <w:spacing w:after="120"/>
      <w:contextualSpacing w:val="0"/>
    </w:pPr>
  </w:style>
  <w:style w:type="paragraph" w:customStyle="1" w:styleId="ListBullet2Long">
    <w:name w:val="List Bullet 2 Long"/>
    <w:basedOn w:val="ListBullet2"/>
    <w:uiPriority w:val="7"/>
    <w:rsid w:val="00507480"/>
    <w:pPr>
      <w:numPr>
        <w:numId w:val="14"/>
      </w:numPr>
      <w:spacing w:after="120"/>
      <w:contextualSpacing w:val="0"/>
    </w:pPr>
  </w:style>
  <w:style w:type="paragraph" w:customStyle="1" w:styleId="ListBullet3Long">
    <w:name w:val="List Bullet 3 Long"/>
    <w:basedOn w:val="ListBullet3"/>
    <w:uiPriority w:val="7"/>
    <w:rsid w:val="00507480"/>
    <w:pPr>
      <w:numPr>
        <w:numId w:val="14"/>
      </w:numPr>
      <w:spacing w:after="120"/>
      <w:contextualSpacing w:val="0"/>
    </w:pPr>
  </w:style>
  <w:style w:type="paragraph" w:customStyle="1" w:styleId="ListBullet4Long">
    <w:name w:val="List Bullet 4 Long"/>
    <w:basedOn w:val="ListBullet4"/>
    <w:uiPriority w:val="7"/>
    <w:rsid w:val="00507480"/>
    <w:pPr>
      <w:numPr>
        <w:numId w:val="14"/>
      </w:numPr>
      <w:spacing w:after="120"/>
      <w:contextualSpacing w:val="0"/>
    </w:pPr>
  </w:style>
  <w:style w:type="paragraph" w:customStyle="1" w:styleId="ListBullet5Long">
    <w:name w:val="List Bullet 5 Long"/>
    <w:basedOn w:val="ListBullet5"/>
    <w:uiPriority w:val="7"/>
    <w:rsid w:val="00507480"/>
    <w:pPr>
      <w:numPr>
        <w:numId w:val="14"/>
      </w:numPr>
      <w:spacing w:after="120"/>
      <w:contextualSpacing w:val="0"/>
    </w:pPr>
  </w:style>
  <w:style w:type="numbering" w:customStyle="1" w:styleId="LeftBulletListLong">
    <w:name w:val="Left Bullet List Long"/>
    <w:uiPriority w:val="99"/>
    <w:rsid w:val="00507480"/>
    <w:pPr>
      <w:numPr>
        <w:numId w:val="13"/>
      </w:numPr>
    </w:pPr>
  </w:style>
  <w:style w:type="paragraph" w:styleId="BodyText">
    <w:name w:val="Body Text"/>
    <w:basedOn w:val="Normal"/>
    <w:link w:val="BodyTextChar"/>
    <w:uiPriority w:val="1"/>
    <w:qFormat/>
    <w:rsid w:val="00787483"/>
    <w:pPr>
      <w:suppressAutoHyphens w:val="0"/>
    </w:pPr>
    <w:rPr>
      <w:rFonts w:asciiTheme="minorHAnsi" w:hAnsiTheme="minorHAnsi" w:cstheme="minorBidi"/>
      <w:kern w:val="2"/>
      <w14:ligatures w14:val="standardContextual"/>
    </w:rPr>
  </w:style>
  <w:style w:type="character" w:customStyle="1" w:styleId="BodyTextChar">
    <w:name w:val="Body Text Char"/>
    <w:basedOn w:val="DefaultParagraphFont"/>
    <w:link w:val="BodyText"/>
    <w:uiPriority w:val="1"/>
    <w:rsid w:val="00787483"/>
    <w:rPr>
      <w:kern w:val="2"/>
      <w14:ligatures w14:val="standardContextual"/>
    </w:rPr>
  </w:style>
  <w:style w:type="table" w:customStyle="1" w:styleId="LCSTableA">
    <w:name w:val="LCS Table A"/>
    <w:basedOn w:val="TableNormal"/>
    <w:uiPriority w:val="99"/>
    <w:rsid w:val="00787483"/>
    <w:pPr>
      <w:spacing w:after="0" w:line="240" w:lineRule="auto"/>
    </w:pPr>
    <w:rPr>
      <w:kern w:val="2"/>
      <w:sz w:val="20"/>
      <w14:ligatures w14:val="standardContextual"/>
    </w:rPr>
    <w:tblPr>
      <w:tblStyleRowBandSize w:val="1"/>
      <w:tblBorders>
        <w:top w:val="single" w:sz="4" w:space="0" w:color="C67554" w:themeColor="accent1"/>
        <w:left w:val="single" w:sz="4" w:space="0" w:color="C67554" w:themeColor="accent1"/>
        <w:bottom w:val="single" w:sz="4" w:space="0" w:color="C67554" w:themeColor="accent1"/>
        <w:right w:val="single" w:sz="4" w:space="0" w:color="C67554" w:themeColor="accent1"/>
        <w:insideH w:val="single" w:sz="4" w:space="0" w:color="C67554" w:themeColor="accent1"/>
        <w:insideV w:val="single" w:sz="4" w:space="0" w:color="C67554" w:themeColor="accent1"/>
      </w:tblBorders>
    </w:tblPr>
    <w:tcPr>
      <w:vAlign w:val="center"/>
    </w:tcPr>
    <w:tblStylePr w:type="firstRow">
      <w:pPr>
        <w:jc w:val="center"/>
      </w:pPr>
      <w:rPr>
        <w:b/>
        <w:color w:val="9E5234" w:themeColor="accent1" w:themeShade="BF"/>
        <w:sz w:val="22"/>
      </w:rPr>
      <w:tblPr/>
      <w:tcPr>
        <w:tcBorders>
          <w:top w:val="single" w:sz="4" w:space="0" w:color="9E5234" w:themeColor="accent1" w:themeShade="BF"/>
          <w:left w:val="single" w:sz="4" w:space="0" w:color="9E5234" w:themeColor="accent1" w:themeShade="BF"/>
          <w:bottom w:val="single" w:sz="4" w:space="0" w:color="9E5234" w:themeColor="accent1" w:themeShade="BF"/>
          <w:right w:val="single" w:sz="4" w:space="0" w:color="9E5234" w:themeColor="accent1" w:themeShade="BF"/>
          <w:insideH w:val="single" w:sz="4" w:space="0" w:color="9E5234" w:themeColor="accent1" w:themeShade="BF"/>
          <w:insideV w:val="single" w:sz="4" w:space="0" w:color="9E5234" w:themeColor="accent1" w:themeShade="BF"/>
        </w:tcBorders>
        <w:shd w:val="clear" w:color="auto" w:fill="F3E3DC" w:themeFill="accent1" w:themeFillTint="33"/>
      </w:tcPr>
    </w:tblStylePr>
    <w:tblStylePr w:type="lastRow">
      <w:rPr>
        <w:color w:val="9E5234" w:themeColor="accent1" w:themeShade="BF"/>
      </w:rPr>
      <w:tblPr/>
      <w:tcPr>
        <w:tcBorders>
          <w:top w:val="single" w:sz="18" w:space="0" w:color="9E5234" w:themeColor="accent1" w:themeShade="BF"/>
        </w:tcBorders>
      </w:tcPr>
    </w:tblStylePr>
    <w:tblStylePr w:type="band2Horz">
      <w:tblPr/>
      <w:tcPr>
        <w:shd w:val="clear" w:color="auto" w:fill="F3E3DC" w:themeFill="accent1" w:themeFillTint="33"/>
      </w:tcPr>
    </w:tblStylePr>
    <w:tblStylePr w:type="swCell">
      <w:rPr>
        <w:b/>
        <w:color w:val="C67554" w:themeColor="accent1"/>
      </w:rPr>
    </w:tblStylePr>
  </w:style>
  <w:style w:type="paragraph" w:customStyle="1" w:styleId="Author">
    <w:name w:val="Author"/>
    <w:link w:val="AuthorChar"/>
    <w:qFormat/>
    <w:rsid w:val="000D3904"/>
    <w:pPr>
      <w:spacing w:after="360"/>
    </w:pPr>
    <w:rPr>
      <w:rFonts w:ascii="Segoe UI" w:hAnsi="Segoe UI" w:cs="MinionPro-Regular"/>
      <w:color w:val="944F0D" w:themeColor="accent2" w:themeShade="80"/>
      <w:sz w:val="20"/>
      <w:szCs w:val="20"/>
    </w:rPr>
  </w:style>
  <w:style w:type="character" w:customStyle="1" w:styleId="AuthorChar">
    <w:name w:val="Author Char"/>
    <w:basedOn w:val="DefaultParagraphFont"/>
    <w:link w:val="Author"/>
    <w:rsid w:val="000D3904"/>
    <w:rPr>
      <w:rFonts w:ascii="Segoe UI" w:hAnsi="Segoe UI" w:cs="MinionPro-Regular"/>
      <w:color w:val="944F0D" w:themeColor="accent2" w:themeShade="80"/>
      <w:sz w:val="20"/>
      <w:szCs w:val="20"/>
    </w:rPr>
  </w:style>
  <w:style w:type="character" w:styleId="CommentReference">
    <w:name w:val="annotation reference"/>
    <w:basedOn w:val="DefaultParagraphFont"/>
    <w:uiPriority w:val="99"/>
    <w:semiHidden/>
    <w:unhideWhenUsed/>
    <w:rsid w:val="00EA4341"/>
    <w:rPr>
      <w:sz w:val="16"/>
      <w:szCs w:val="16"/>
    </w:rPr>
  </w:style>
  <w:style w:type="paragraph" w:styleId="CommentText">
    <w:name w:val="annotation text"/>
    <w:basedOn w:val="Normal"/>
    <w:link w:val="CommentTextChar"/>
    <w:uiPriority w:val="99"/>
    <w:semiHidden/>
    <w:unhideWhenUsed/>
    <w:rsid w:val="00EA4341"/>
    <w:pPr>
      <w:spacing w:line="240" w:lineRule="auto"/>
    </w:pPr>
    <w:rPr>
      <w:sz w:val="20"/>
      <w:szCs w:val="20"/>
    </w:rPr>
  </w:style>
  <w:style w:type="character" w:customStyle="1" w:styleId="CommentTextChar">
    <w:name w:val="Comment Text Char"/>
    <w:basedOn w:val="DefaultParagraphFont"/>
    <w:link w:val="CommentText"/>
    <w:uiPriority w:val="99"/>
    <w:semiHidden/>
    <w:rsid w:val="00EA4341"/>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EA4341"/>
    <w:rPr>
      <w:b/>
      <w:bCs/>
    </w:rPr>
  </w:style>
  <w:style w:type="character" w:customStyle="1" w:styleId="CommentSubjectChar">
    <w:name w:val="Comment Subject Char"/>
    <w:basedOn w:val="CommentTextChar"/>
    <w:link w:val="CommentSubject"/>
    <w:uiPriority w:val="99"/>
    <w:semiHidden/>
    <w:rsid w:val="00EA4341"/>
    <w:rPr>
      <w:rFonts w:ascii="Segoe UI" w:hAnsi="Segoe UI" w:cs="Segoe UI"/>
      <w:b/>
      <w:bCs/>
      <w:sz w:val="20"/>
      <w:szCs w:val="20"/>
    </w:rPr>
  </w:style>
  <w:style w:type="paragraph" w:styleId="Revision">
    <w:name w:val="Revision"/>
    <w:hidden/>
    <w:uiPriority w:val="99"/>
    <w:semiHidden/>
    <w:rsid w:val="00444BB2"/>
    <w:pPr>
      <w:spacing w:after="0" w:line="240" w:lineRule="auto"/>
    </w:pPr>
    <w:rPr>
      <w:rFonts w:ascii="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eg.colorado.gov/bills/sb25-124" TargetMode="External"/><Relationship Id="rId18" Type="http://schemas.openxmlformats.org/officeDocument/2006/relationships/hyperlink" Target="https://leg.colorado.gov/bills/sb25-078" TargetMode="External"/><Relationship Id="rId26" Type="http://schemas.openxmlformats.org/officeDocument/2006/relationships/hyperlink" Target="https://leg.colorado.gov/bills/hb25-1309" TargetMode="External"/><Relationship Id="rId3" Type="http://schemas.openxmlformats.org/officeDocument/2006/relationships/styles" Target="styles.xml"/><Relationship Id="rId21" Type="http://schemas.openxmlformats.org/officeDocument/2006/relationships/hyperlink" Target="https://leg.colorado.gov/bills/hb25-1132" TargetMode="External"/><Relationship Id="rId7" Type="http://schemas.openxmlformats.org/officeDocument/2006/relationships/endnotes" Target="endnotes.xml"/><Relationship Id="rId12" Type="http://schemas.openxmlformats.org/officeDocument/2006/relationships/hyperlink" Target="https://leg.colorado.gov/bills/sb25-071" TargetMode="External"/><Relationship Id="rId17" Type="http://schemas.microsoft.com/office/2011/relationships/commentsExtended" Target="commentsExtended.xml"/><Relationship Id="rId25" Type="http://schemas.openxmlformats.org/officeDocument/2006/relationships/hyperlink" Target="https://leg.colorado.gov/bills/hb25-1109" TargetMode="Externa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yperlink" Target="https://leg.colorado.gov/bills/hb25-1002"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leg.colorado.gov/bills/sb25-017" TargetMode="Externa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leg.colorado.gov/bills/hb25-1033" TargetMode="External"/><Relationship Id="rId23" Type="http://schemas.openxmlformats.org/officeDocument/2006/relationships/hyperlink" Target="https://leg.colorado.gov/bills/hb25-1288"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leg.colorado.gov/bills/sb25-278"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eg.colorado.gov/bills/hb25-1003" TargetMode="External"/><Relationship Id="rId22" Type="http://schemas.openxmlformats.org/officeDocument/2006/relationships/hyperlink" Target="https://leg.colorado.gov/bills/sb25-118" TargetMode="External"/><Relationship Id="rId27" Type="http://schemas.openxmlformats.org/officeDocument/2006/relationships/hyperlink" Target="https://leg.colorado.gov/bills/sb25-010"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LCS\Teams\Policy%20&amp;%20Research\Hot%20Topics\2025%20Legislation\Hot%20Topic%20Template_2025.dotx" TargetMode="External"/></Relationships>
</file>

<file path=word/theme/theme1.xml><?xml version="1.0" encoding="utf-8"?>
<a:theme xmlns:a="http://schemas.openxmlformats.org/drawingml/2006/main" name="LCS Memorandum Theme">
  <a:themeElements>
    <a:clrScheme name="NEW LCS">
      <a:dk1>
        <a:sysClr val="windowText" lastClr="000000"/>
      </a:dk1>
      <a:lt1>
        <a:sysClr val="window" lastClr="FFFFFF"/>
      </a:lt1>
      <a:dk2>
        <a:srgbClr val="D3B063"/>
      </a:dk2>
      <a:lt2>
        <a:srgbClr val="85ACAC"/>
      </a:lt2>
      <a:accent1>
        <a:srgbClr val="C67554"/>
      </a:accent1>
      <a:accent2>
        <a:srgbClr val="F0A052"/>
      </a:accent2>
      <a:accent3>
        <a:srgbClr val="7AA3C1"/>
      </a:accent3>
      <a:accent4>
        <a:srgbClr val="7F827C"/>
      </a:accent4>
      <a:accent5>
        <a:srgbClr val="C8E8E9"/>
      </a:accent5>
      <a:accent6>
        <a:srgbClr val="335F67"/>
      </a:accent6>
      <a:hlink>
        <a:srgbClr val="335F67"/>
      </a:hlink>
      <a:folHlink>
        <a:srgbClr val="335F6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82846-50D2-4A10-AED3-38677B38B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Hot Topic Template_2025.dotx</Template>
  <TotalTime>1678</TotalTime>
  <Pages>4</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Colorado General Assembly</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Eliyah Chadioun</dc:creator>
  <cp:lastModifiedBy>Eliyah Chadioun</cp:lastModifiedBy>
  <cp:revision>40</cp:revision>
  <cp:lastPrinted>2023-05-25T20:39:00Z</cp:lastPrinted>
  <dcterms:created xsi:type="dcterms:W3CDTF">2025-06-14T17:42:00Z</dcterms:created>
  <dcterms:modified xsi:type="dcterms:W3CDTF">2025-07-28T18:25:00Z</dcterms:modified>
</cp:coreProperties>
</file>